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D4" w:rsidRDefault="00D92FD4" w:rsidP="00C41D1C">
      <w:pPr>
        <w:pStyle w:val="Heading4"/>
        <w:jc w:val="center"/>
      </w:pPr>
    </w:p>
    <w:p w:rsidR="00D92FD4" w:rsidRDefault="00507E5A" w:rsidP="00D92FD4">
      <w:pPr>
        <w:pStyle w:val="Title"/>
        <w:rPr>
          <w:rFonts w:ascii="Arial" w:hAnsi="Arial" w:cs="Arial"/>
          <w:sz w:val="48"/>
          <w:szCs w:val="48"/>
        </w:rPr>
      </w:pPr>
      <w:r w:rsidRPr="00D92FD4">
        <w:rPr>
          <w:rFonts w:ascii="Arial" w:hAnsi="Arial" w:cs="Arial"/>
          <w:sz w:val="48"/>
          <w:szCs w:val="48"/>
        </w:rPr>
        <w:t>Teignbridge District Coun</w:t>
      </w:r>
      <w:r w:rsidR="00D92FD4">
        <w:rPr>
          <w:rFonts w:ascii="Arial" w:hAnsi="Arial" w:cs="Arial"/>
          <w:sz w:val="48"/>
          <w:szCs w:val="48"/>
        </w:rPr>
        <w:t>cil</w:t>
      </w:r>
    </w:p>
    <w:p w:rsidR="00507E5A" w:rsidRDefault="00C41D1C" w:rsidP="00D92FD4">
      <w:pPr>
        <w:pStyle w:val="Title"/>
        <w:rPr>
          <w:rFonts w:ascii="Arial" w:hAnsi="Arial" w:cs="Arial"/>
          <w:sz w:val="48"/>
          <w:szCs w:val="48"/>
        </w:rPr>
      </w:pPr>
      <w:r w:rsidRPr="00D92FD4">
        <w:rPr>
          <w:rFonts w:ascii="Arial" w:hAnsi="Arial" w:cs="Arial"/>
          <w:sz w:val="48"/>
          <w:szCs w:val="48"/>
        </w:rPr>
        <w:t xml:space="preserve">Carbon Footprint </w:t>
      </w:r>
      <w:r w:rsidR="00507E5A" w:rsidRPr="00D92FD4">
        <w:rPr>
          <w:rFonts w:ascii="Arial" w:hAnsi="Arial" w:cs="Arial"/>
          <w:sz w:val="48"/>
          <w:szCs w:val="48"/>
        </w:rPr>
        <w:t>2018/19</w:t>
      </w:r>
    </w:p>
    <w:p w:rsidR="00507E5A" w:rsidRPr="00A257B9" w:rsidRDefault="00507E5A" w:rsidP="001946F2">
      <w:pPr>
        <w:pStyle w:val="Heading1"/>
        <w:spacing w:before="360"/>
      </w:pPr>
      <w:r w:rsidRPr="00A257B9">
        <w:t>Introduction</w:t>
      </w:r>
    </w:p>
    <w:p w:rsidR="00A84911" w:rsidRPr="00A257B9" w:rsidRDefault="000A344B" w:rsidP="000A344B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Teignbridge District Council (TDC) declared a Climate Em</w:t>
      </w:r>
      <w:r w:rsidR="00E32C8D" w:rsidRPr="00A257B9">
        <w:rPr>
          <w:rFonts w:ascii="Arial" w:hAnsi="Arial" w:cs="Arial"/>
        </w:rPr>
        <w:t xml:space="preserve">ergency in </w:t>
      </w:r>
      <w:r w:rsidR="004C2C29" w:rsidRPr="00A257B9">
        <w:rPr>
          <w:rFonts w:ascii="Arial" w:hAnsi="Arial" w:cs="Arial"/>
        </w:rPr>
        <w:t xml:space="preserve">2019 </w:t>
      </w:r>
      <w:r w:rsidR="00E32C8D" w:rsidRPr="00A257B9">
        <w:rPr>
          <w:rFonts w:ascii="Arial" w:hAnsi="Arial" w:cs="Arial"/>
        </w:rPr>
        <w:t>and has</w:t>
      </w:r>
      <w:r w:rsidRPr="00A257B9">
        <w:rPr>
          <w:rFonts w:ascii="Arial" w:hAnsi="Arial" w:cs="Arial"/>
        </w:rPr>
        <w:t xml:space="preserve"> set an ambition to become carbon neutral by 2025</w:t>
      </w:r>
      <w:r w:rsidR="0087686D" w:rsidRPr="00A257B9">
        <w:rPr>
          <w:rFonts w:ascii="Arial" w:hAnsi="Arial" w:cs="Arial"/>
        </w:rPr>
        <w:t>. The following carbon footprint for TDC local authority has been developed to quantify carbon emissions over the financial year 2018/19 and serves as a baseline for supporting low carbon policies, energy efficiency programmes and carbon reduction schemes.</w:t>
      </w:r>
    </w:p>
    <w:p w:rsidR="00507E5A" w:rsidRPr="00A257B9" w:rsidRDefault="00507E5A" w:rsidP="001946F2">
      <w:pPr>
        <w:pStyle w:val="Heading1"/>
        <w:spacing w:before="360"/>
      </w:pPr>
      <w:r w:rsidRPr="00A257B9">
        <w:t>Methodology</w:t>
      </w:r>
    </w:p>
    <w:p w:rsidR="00507E5A" w:rsidRPr="00A257B9" w:rsidRDefault="00507E5A" w:rsidP="00A84911">
      <w:pPr>
        <w:pStyle w:val="Heading2"/>
      </w:pPr>
      <w:r w:rsidRPr="00A257B9">
        <w:t>Emissions Boundary</w:t>
      </w:r>
    </w:p>
    <w:p w:rsidR="00E32C8D" w:rsidRPr="00A257B9" w:rsidRDefault="00E561EE" w:rsidP="00E32C8D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 xml:space="preserve">A financial control boundary has been used to determine the extent </w:t>
      </w:r>
      <w:r w:rsidR="00FC63C1" w:rsidRPr="00A257B9">
        <w:rPr>
          <w:rFonts w:ascii="Arial" w:hAnsi="Arial" w:cs="Arial"/>
        </w:rPr>
        <w:t xml:space="preserve">of </w:t>
      </w:r>
      <w:r w:rsidRPr="00A257B9">
        <w:rPr>
          <w:rFonts w:ascii="Arial" w:hAnsi="Arial" w:cs="Arial"/>
        </w:rPr>
        <w:t>TDC’s influence on greenhouse gas emissions.</w:t>
      </w:r>
      <w:r w:rsidR="00E32C8D" w:rsidRPr="00A257B9">
        <w:rPr>
          <w:rFonts w:ascii="Arial" w:hAnsi="Arial" w:cs="Arial"/>
        </w:rPr>
        <w:t xml:space="preserve"> This is in alignment with methodologies used by Devon local authorities at district and county level.</w:t>
      </w:r>
    </w:p>
    <w:p w:rsidR="009468BB" w:rsidRPr="00A257B9" w:rsidRDefault="009468BB" w:rsidP="00E32C8D">
      <w:pPr>
        <w:pStyle w:val="Heading2"/>
      </w:pPr>
      <w:r w:rsidRPr="00A257B9">
        <w:t>Emissions Factors</w:t>
      </w:r>
    </w:p>
    <w:p w:rsidR="00A84911" w:rsidRPr="00A257B9" w:rsidRDefault="00E561EE" w:rsidP="00E561EE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U</w:t>
      </w:r>
      <w:r w:rsidR="00F25ACD" w:rsidRPr="00A257B9">
        <w:rPr>
          <w:rFonts w:ascii="Arial" w:hAnsi="Arial" w:cs="Arial"/>
        </w:rPr>
        <w:t xml:space="preserve">nless otherwise stated, emissions factors have been sourced from </w:t>
      </w:r>
      <w:r w:rsidR="00F25ACD" w:rsidRPr="00A257B9">
        <w:rPr>
          <w:rFonts w:ascii="Arial" w:hAnsi="Arial" w:cs="Arial"/>
          <w:i/>
        </w:rPr>
        <w:t>“Greenhouse gas reporting: conversion factors 2018”</w:t>
      </w:r>
      <w:r w:rsidR="00F25ACD" w:rsidRPr="00A257B9">
        <w:rPr>
          <w:rFonts w:ascii="Arial" w:hAnsi="Arial" w:cs="Arial"/>
        </w:rPr>
        <w:t xml:space="preserve"> and </w:t>
      </w:r>
      <w:r w:rsidR="00A84911" w:rsidRPr="00A257B9">
        <w:rPr>
          <w:rFonts w:ascii="Arial" w:hAnsi="Arial" w:cs="Arial"/>
        </w:rPr>
        <w:t xml:space="preserve">in alignment with </w:t>
      </w:r>
      <w:r w:rsidR="00A84911" w:rsidRPr="00A257B9">
        <w:rPr>
          <w:rFonts w:ascii="Arial" w:hAnsi="Arial" w:cs="Arial"/>
          <w:i/>
        </w:rPr>
        <w:t>“Environmental Reporting Guidelines: Including streamlined energy a</w:t>
      </w:r>
      <w:r w:rsidR="00F25ACD" w:rsidRPr="00A257B9">
        <w:rPr>
          <w:rFonts w:ascii="Arial" w:hAnsi="Arial" w:cs="Arial"/>
          <w:i/>
        </w:rPr>
        <w:t>nd carbon reporting guidance</w:t>
      </w:r>
      <w:r w:rsidR="000D3E19" w:rsidRPr="00A257B9">
        <w:rPr>
          <w:rFonts w:ascii="Arial" w:hAnsi="Arial" w:cs="Arial"/>
          <w:i/>
        </w:rPr>
        <w:t xml:space="preserve"> (2019)</w:t>
      </w:r>
      <w:r w:rsidR="00F25ACD" w:rsidRPr="00A257B9">
        <w:rPr>
          <w:rFonts w:ascii="Arial" w:hAnsi="Arial" w:cs="Arial"/>
          <w:i/>
        </w:rPr>
        <w:t xml:space="preserve">,” </w:t>
      </w:r>
      <w:r w:rsidR="00F25ACD" w:rsidRPr="00A257B9">
        <w:rPr>
          <w:rFonts w:ascii="Arial" w:hAnsi="Arial" w:cs="Arial"/>
        </w:rPr>
        <w:t xml:space="preserve">as published by the Department for Business, Environment &amp; Industrial Strategy (BEIS) and the Department for Environment, Food and Rural Affairs </w:t>
      </w:r>
      <w:r w:rsidR="00E32C8D" w:rsidRPr="00A257B9">
        <w:rPr>
          <w:rFonts w:ascii="Arial" w:hAnsi="Arial" w:cs="Arial"/>
        </w:rPr>
        <w:t>(</w:t>
      </w:r>
      <w:r w:rsidR="00F25ACD" w:rsidRPr="00A257B9">
        <w:rPr>
          <w:rFonts w:ascii="Arial" w:hAnsi="Arial" w:cs="Arial"/>
        </w:rPr>
        <w:t>DEFRA</w:t>
      </w:r>
      <w:r w:rsidR="00E32C8D" w:rsidRPr="00A257B9">
        <w:rPr>
          <w:rFonts w:ascii="Arial" w:hAnsi="Arial" w:cs="Arial"/>
        </w:rPr>
        <w:t>)</w:t>
      </w:r>
      <w:r w:rsidR="00F25ACD" w:rsidRPr="00A257B9">
        <w:rPr>
          <w:rFonts w:ascii="Arial" w:hAnsi="Arial" w:cs="Arial"/>
        </w:rPr>
        <w:t>.</w:t>
      </w:r>
    </w:p>
    <w:p w:rsidR="00F25ACD" w:rsidRPr="00A257B9" w:rsidRDefault="00F25ACD" w:rsidP="00F25ACD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This carbon footprint assessment considers the collective</w:t>
      </w:r>
      <w:r w:rsidR="009468BB" w:rsidRPr="00A257B9">
        <w:rPr>
          <w:rFonts w:ascii="Arial" w:hAnsi="Arial" w:cs="Arial"/>
        </w:rPr>
        <w:t xml:space="preserve"> impact of seven greenhouse ga</w:t>
      </w:r>
      <w:r w:rsidRPr="00A257B9">
        <w:rPr>
          <w:rFonts w:ascii="Arial" w:hAnsi="Arial" w:cs="Arial"/>
        </w:rPr>
        <w:t xml:space="preserve">ses, as </w:t>
      </w:r>
      <w:r w:rsidR="000D3E19" w:rsidRPr="00A257B9">
        <w:rPr>
          <w:rFonts w:ascii="Arial" w:hAnsi="Arial" w:cs="Arial"/>
        </w:rPr>
        <w:t>listed</w:t>
      </w:r>
      <w:r w:rsidRPr="00A257B9">
        <w:rPr>
          <w:rFonts w:ascii="Arial" w:hAnsi="Arial" w:cs="Arial"/>
        </w:rPr>
        <w:t xml:space="preserve"> in Tabl</w:t>
      </w:r>
      <w:r w:rsidR="009468BB" w:rsidRPr="00A257B9">
        <w:rPr>
          <w:rFonts w:ascii="Arial" w:hAnsi="Arial" w:cs="Arial"/>
        </w:rPr>
        <w:t xml:space="preserve">e 1 below; the impact of greenhouse gases has been expressed in equivalent </w:t>
      </w:r>
      <w:r w:rsidR="00FC63C1" w:rsidRPr="00A257B9">
        <w:rPr>
          <w:rFonts w:ascii="Arial" w:hAnsi="Arial" w:cs="Arial"/>
        </w:rPr>
        <w:t xml:space="preserve">units of </w:t>
      </w:r>
      <w:r w:rsidR="009468BB" w:rsidRPr="00A257B9">
        <w:rPr>
          <w:rFonts w:ascii="Arial" w:hAnsi="Arial" w:cs="Arial"/>
        </w:rPr>
        <w:t>carbon dioxide emissions</w:t>
      </w:r>
      <w:r w:rsidR="00FC63C1" w:rsidRPr="00A257B9">
        <w:rPr>
          <w:rFonts w:ascii="Arial" w:hAnsi="Arial" w:cs="Arial"/>
        </w:rPr>
        <w:t xml:space="preserve"> </w:t>
      </w:r>
      <w:r w:rsidR="00884990" w:rsidRPr="00A257B9">
        <w:rPr>
          <w:rFonts w:ascii="Arial" w:hAnsi="Arial" w:cs="Arial"/>
        </w:rPr>
        <w:t>(CO</w:t>
      </w:r>
      <w:r w:rsidR="00884990" w:rsidRPr="00A257B9">
        <w:rPr>
          <w:rFonts w:ascii="Arial" w:hAnsi="Arial" w:cs="Arial"/>
          <w:vertAlign w:val="subscript"/>
        </w:rPr>
        <w:t>2</w:t>
      </w:r>
      <w:r w:rsidR="00884990" w:rsidRPr="00A257B9">
        <w:rPr>
          <w:rFonts w:ascii="Arial" w:hAnsi="Arial" w:cs="Arial"/>
        </w:rPr>
        <w:t>e)</w:t>
      </w:r>
      <w:r w:rsidR="009468BB" w:rsidRPr="00A257B9">
        <w:rPr>
          <w:rFonts w:ascii="Arial" w:hAnsi="Arial" w:cs="Arial"/>
        </w:rPr>
        <w:t>, where carbon dioxide has a Global Warming Potential of 1 over a 100 year period.</w:t>
      </w:r>
    </w:p>
    <w:p w:rsidR="00D92FD4" w:rsidRPr="001946F2" w:rsidRDefault="00D92FD4" w:rsidP="001946F2">
      <w:pPr>
        <w:pStyle w:val="Caption"/>
        <w:keepNext/>
        <w:spacing w:after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1946F2">
        <w:rPr>
          <w:rFonts w:ascii="Arial" w:hAnsi="Arial" w:cs="Arial"/>
          <w:i w:val="0"/>
          <w:color w:val="auto"/>
          <w:sz w:val="24"/>
          <w:szCs w:val="24"/>
        </w:rPr>
        <w:t xml:space="preserve">Table </w:t>
      </w:r>
      <w:r w:rsidRPr="001946F2">
        <w:rPr>
          <w:rFonts w:ascii="Arial" w:hAnsi="Arial" w:cs="Arial"/>
          <w:i w:val="0"/>
          <w:color w:val="auto"/>
          <w:sz w:val="24"/>
          <w:szCs w:val="24"/>
        </w:rPr>
        <w:fldChar w:fldCharType="begin"/>
      </w:r>
      <w:r w:rsidRPr="001946F2">
        <w:rPr>
          <w:rFonts w:ascii="Arial" w:hAnsi="Arial" w:cs="Arial"/>
          <w:i w:val="0"/>
          <w:color w:val="auto"/>
          <w:sz w:val="24"/>
          <w:szCs w:val="24"/>
        </w:rPr>
        <w:instrText xml:space="preserve"> SEQ Table \* ARABIC </w:instrText>
      </w:r>
      <w:r w:rsidRPr="001946F2">
        <w:rPr>
          <w:rFonts w:ascii="Arial" w:hAnsi="Arial" w:cs="Arial"/>
          <w:i w:val="0"/>
          <w:color w:val="auto"/>
          <w:sz w:val="24"/>
          <w:szCs w:val="24"/>
        </w:rPr>
        <w:fldChar w:fldCharType="separate"/>
      </w:r>
      <w:r w:rsidR="00356516" w:rsidRPr="001946F2">
        <w:rPr>
          <w:rFonts w:ascii="Arial" w:hAnsi="Arial" w:cs="Arial"/>
          <w:i w:val="0"/>
          <w:noProof/>
          <w:color w:val="auto"/>
          <w:sz w:val="24"/>
          <w:szCs w:val="24"/>
        </w:rPr>
        <w:t>1</w:t>
      </w:r>
      <w:r w:rsidRPr="001946F2">
        <w:rPr>
          <w:rFonts w:ascii="Arial" w:hAnsi="Arial" w:cs="Arial"/>
          <w:i w:val="0"/>
          <w:color w:val="auto"/>
          <w:sz w:val="24"/>
          <w:szCs w:val="24"/>
        </w:rPr>
        <w:fldChar w:fldCharType="end"/>
      </w:r>
      <w:r w:rsidRPr="001946F2">
        <w:rPr>
          <w:rFonts w:ascii="Arial" w:hAnsi="Arial" w:cs="Arial"/>
          <w:i w:val="0"/>
          <w:color w:val="auto"/>
          <w:sz w:val="24"/>
          <w:szCs w:val="24"/>
        </w:rPr>
        <w:t>: Scope of Greenhouse Gases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Scope of greenhouse gases"/>
        <w:tblDescription w:val="Carbon Dioxide CO2&#10;Methane CH4&#10;Nitrous Oxide N2O&#10;Hydrofluorocarbons HFCs&#10;Perfluorocarbons PFCs&#10;Sulphur Hexafluoride SF6&#10;Nitrogen Trifluoride NF3&#10;"/>
      </w:tblPr>
      <w:tblGrid>
        <w:gridCol w:w="4508"/>
        <w:gridCol w:w="4508"/>
      </w:tblGrid>
      <w:tr w:rsidR="00884990" w:rsidRPr="00A257B9" w:rsidTr="00756373">
        <w:trPr>
          <w:tblHeader/>
        </w:trPr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</w:tcPr>
          <w:p w:rsidR="00884990" w:rsidRPr="00A257B9" w:rsidRDefault="00884990" w:rsidP="00D92FD4">
            <w:pPr>
              <w:tabs>
                <w:tab w:val="left" w:pos="3210"/>
              </w:tabs>
              <w:jc w:val="both"/>
              <w:rPr>
                <w:rFonts w:ascii="Arial" w:hAnsi="Arial" w:cs="Arial"/>
                <w:b/>
              </w:rPr>
            </w:pPr>
            <w:r w:rsidRPr="00A257B9">
              <w:rPr>
                <w:rFonts w:ascii="Arial" w:hAnsi="Arial" w:cs="Arial"/>
                <w:b/>
              </w:rPr>
              <w:t>Name</w:t>
            </w:r>
            <w:r w:rsidR="00D92FD4">
              <w:rPr>
                <w:rFonts w:ascii="Arial" w:hAnsi="Arial" w:cs="Arial"/>
                <w:b/>
              </w:rPr>
              <w:tab/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  <w:b/>
              </w:rPr>
            </w:pPr>
            <w:r w:rsidRPr="00A257B9">
              <w:rPr>
                <w:rFonts w:ascii="Arial" w:hAnsi="Arial" w:cs="Arial"/>
                <w:b/>
              </w:rPr>
              <w:t>Chemical Formula</w:t>
            </w:r>
          </w:p>
        </w:tc>
      </w:tr>
      <w:tr w:rsidR="00884990" w:rsidRPr="00A257B9" w:rsidTr="00D92FD4"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Carbon Dioxide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CO</w:t>
            </w:r>
            <w:r w:rsidRPr="00A257B9"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884990" w:rsidRPr="00A257B9" w:rsidTr="00D92FD4"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4990" w:rsidRPr="00A257B9" w:rsidRDefault="00884990" w:rsidP="00F25ACD">
            <w:pPr>
              <w:jc w:val="both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Methane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CH</w:t>
            </w:r>
            <w:r w:rsidRPr="00A257B9">
              <w:rPr>
                <w:rFonts w:ascii="Arial" w:hAnsi="Arial" w:cs="Arial"/>
                <w:vertAlign w:val="subscript"/>
              </w:rPr>
              <w:t>4</w:t>
            </w:r>
          </w:p>
        </w:tc>
      </w:tr>
      <w:tr w:rsidR="00884990" w:rsidRPr="00A257B9" w:rsidTr="00D92FD4"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4990" w:rsidRPr="00A257B9" w:rsidRDefault="00884990" w:rsidP="00F25ACD">
            <w:pPr>
              <w:jc w:val="both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Nitrous Oxide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</w:t>
            </w:r>
            <w:r w:rsidRPr="00A257B9">
              <w:rPr>
                <w:rFonts w:ascii="Arial" w:hAnsi="Arial" w:cs="Arial"/>
                <w:vertAlign w:val="subscript"/>
              </w:rPr>
              <w:t>2</w:t>
            </w:r>
            <w:r w:rsidRPr="00A257B9">
              <w:rPr>
                <w:rFonts w:ascii="Arial" w:hAnsi="Arial" w:cs="Arial"/>
              </w:rPr>
              <w:t>O</w:t>
            </w:r>
          </w:p>
        </w:tc>
      </w:tr>
      <w:tr w:rsidR="00884990" w:rsidRPr="00A257B9" w:rsidTr="00D92FD4"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4990" w:rsidRPr="00A257B9" w:rsidRDefault="00884990" w:rsidP="00F25ACD">
            <w:pPr>
              <w:jc w:val="both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Hydrofluorocarbons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HFCs</w:t>
            </w:r>
          </w:p>
        </w:tc>
      </w:tr>
      <w:tr w:rsidR="00884990" w:rsidRPr="00A257B9" w:rsidTr="00D92FD4"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4990" w:rsidRPr="00A257B9" w:rsidRDefault="00884990" w:rsidP="00F25ACD">
            <w:pPr>
              <w:jc w:val="both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Perfluorocarbons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PFCs</w:t>
            </w:r>
          </w:p>
        </w:tc>
      </w:tr>
      <w:tr w:rsidR="00884990" w:rsidRPr="00A257B9" w:rsidTr="00D92FD4"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4990" w:rsidRPr="00A257B9" w:rsidRDefault="00884990" w:rsidP="00F25ACD">
            <w:pPr>
              <w:jc w:val="both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Su</w:t>
            </w:r>
            <w:r w:rsidR="00F5415E" w:rsidRPr="00A257B9">
              <w:rPr>
                <w:rFonts w:ascii="Arial" w:hAnsi="Arial" w:cs="Arial"/>
              </w:rPr>
              <w:t>l</w:t>
            </w:r>
            <w:r w:rsidRPr="00A257B9">
              <w:rPr>
                <w:rFonts w:ascii="Arial" w:hAnsi="Arial" w:cs="Arial"/>
              </w:rPr>
              <w:t>phur Hexafluoride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SF</w:t>
            </w:r>
            <w:r w:rsidRPr="00A257B9">
              <w:rPr>
                <w:rFonts w:ascii="Arial" w:hAnsi="Arial" w:cs="Arial"/>
                <w:vertAlign w:val="subscript"/>
              </w:rPr>
              <w:t>6</w:t>
            </w:r>
          </w:p>
        </w:tc>
      </w:tr>
      <w:tr w:rsidR="00884990" w:rsidRPr="00A257B9" w:rsidTr="00D92FD4"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4990" w:rsidRPr="00A257B9" w:rsidRDefault="00884990" w:rsidP="00F25ACD">
            <w:pPr>
              <w:jc w:val="both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Nitrogen Trifluoride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4990" w:rsidRPr="00A257B9" w:rsidRDefault="00884990" w:rsidP="00884990">
            <w:pPr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NF</w:t>
            </w:r>
            <w:r w:rsidRPr="00A257B9">
              <w:rPr>
                <w:rFonts w:ascii="Arial" w:hAnsi="Arial" w:cs="Arial"/>
                <w:vertAlign w:val="subscript"/>
              </w:rPr>
              <w:t>3</w:t>
            </w:r>
          </w:p>
        </w:tc>
      </w:tr>
    </w:tbl>
    <w:p w:rsidR="009468BB" w:rsidRDefault="009468BB" w:rsidP="00F25ACD">
      <w:pPr>
        <w:jc w:val="both"/>
        <w:rPr>
          <w:rFonts w:ascii="Arial" w:hAnsi="Arial" w:cs="Arial"/>
        </w:rPr>
      </w:pPr>
    </w:p>
    <w:p w:rsidR="00D92FD4" w:rsidRDefault="00D92FD4" w:rsidP="00F25ACD">
      <w:pPr>
        <w:jc w:val="both"/>
        <w:rPr>
          <w:rFonts w:ascii="Arial" w:hAnsi="Arial" w:cs="Arial"/>
        </w:rPr>
      </w:pPr>
      <w:bookmarkStart w:id="0" w:name="_GoBack"/>
      <w:bookmarkEnd w:id="0"/>
    </w:p>
    <w:p w:rsidR="00D92FD4" w:rsidRPr="00A257B9" w:rsidRDefault="00D92FD4" w:rsidP="00F25ACD">
      <w:pPr>
        <w:jc w:val="both"/>
        <w:rPr>
          <w:rFonts w:ascii="Arial" w:hAnsi="Arial" w:cs="Arial"/>
        </w:rPr>
      </w:pPr>
    </w:p>
    <w:p w:rsidR="00F25ACD" w:rsidRPr="00A257B9" w:rsidRDefault="009468BB" w:rsidP="009468BB">
      <w:pPr>
        <w:pStyle w:val="Heading2"/>
      </w:pPr>
      <w:r w:rsidRPr="00A257B9">
        <w:t>Emissions Scopes</w:t>
      </w:r>
    </w:p>
    <w:p w:rsidR="00884990" w:rsidRPr="00756373" w:rsidRDefault="00AF25C6" w:rsidP="00756373">
      <w:pPr>
        <w:rPr>
          <w:rFonts w:ascii="Arial" w:hAnsi="Arial" w:cs="Arial"/>
          <w:b/>
          <w:sz w:val="24"/>
          <w:szCs w:val="24"/>
        </w:rPr>
      </w:pPr>
      <w:r w:rsidRPr="00756373">
        <w:rPr>
          <w:rFonts w:ascii="Arial" w:hAnsi="Arial" w:cs="Arial"/>
          <w:sz w:val="24"/>
          <w:szCs w:val="24"/>
        </w:rPr>
        <w:t>Greenhous</w:t>
      </w:r>
      <w:r w:rsidR="00A257B9" w:rsidRPr="00756373">
        <w:rPr>
          <w:rFonts w:ascii="Arial" w:hAnsi="Arial" w:cs="Arial"/>
          <w:sz w:val="24"/>
          <w:szCs w:val="24"/>
        </w:rPr>
        <w:t>e</w:t>
      </w:r>
      <w:r w:rsidRPr="00756373">
        <w:rPr>
          <w:rFonts w:ascii="Arial" w:hAnsi="Arial" w:cs="Arial"/>
          <w:sz w:val="24"/>
          <w:szCs w:val="24"/>
        </w:rPr>
        <w:t xml:space="preserve"> gas emissions have been expressed in terms of scope 1, 2 and 3 emissions to differen</w:t>
      </w:r>
      <w:r w:rsidR="003A5817" w:rsidRPr="00756373">
        <w:rPr>
          <w:rFonts w:ascii="Arial" w:hAnsi="Arial" w:cs="Arial"/>
          <w:sz w:val="24"/>
          <w:szCs w:val="24"/>
        </w:rPr>
        <w:t xml:space="preserve">tiate emissions according to asset ownership and </w:t>
      </w:r>
      <w:r w:rsidR="00E32C8D" w:rsidRPr="00756373">
        <w:rPr>
          <w:rFonts w:ascii="Arial" w:hAnsi="Arial" w:cs="Arial"/>
          <w:sz w:val="24"/>
          <w:szCs w:val="24"/>
        </w:rPr>
        <w:t xml:space="preserve">control </w:t>
      </w:r>
      <w:r w:rsidR="003A5817" w:rsidRPr="00756373">
        <w:rPr>
          <w:rFonts w:ascii="Arial" w:hAnsi="Arial" w:cs="Arial"/>
          <w:sz w:val="24"/>
          <w:szCs w:val="24"/>
        </w:rPr>
        <w:t>influence.</w:t>
      </w:r>
      <w:r w:rsidR="00F5415E" w:rsidRPr="00756373">
        <w:rPr>
          <w:rFonts w:ascii="Arial" w:hAnsi="Arial" w:cs="Arial"/>
          <w:sz w:val="24"/>
          <w:szCs w:val="24"/>
        </w:rPr>
        <w:t xml:space="preserve"> The following provides a</w:t>
      </w:r>
      <w:r w:rsidR="000A344B" w:rsidRPr="00756373">
        <w:rPr>
          <w:rFonts w:ascii="Arial" w:hAnsi="Arial" w:cs="Arial"/>
          <w:sz w:val="24"/>
          <w:szCs w:val="24"/>
        </w:rPr>
        <w:t xml:space="preserve"> summary of emissions scopes:</w:t>
      </w:r>
    </w:p>
    <w:p w:rsidR="003A5817" w:rsidRPr="00A257B9" w:rsidRDefault="00C650B4" w:rsidP="000D4E1F">
      <w:pPr>
        <w:ind w:left="426"/>
        <w:jc w:val="both"/>
        <w:rPr>
          <w:rFonts w:ascii="Arial" w:hAnsi="Arial" w:cs="Arial"/>
        </w:rPr>
      </w:pPr>
      <w:r w:rsidRPr="00A257B9">
        <w:rPr>
          <w:rFonts w:ascii="Arial" w:hAnsi="Arial" w:cs="Arial"/>
          <w:b/>
        </w:rPr>
        <w:t>Scope 1</w:t>
      </w:r>
      <w:r w:rsidR="003A5817" w:rsidRPr="00A257B9">
        <w:rPr>
          <w:rFonts w:ascii="Arial" w:hAnsi="Arial" w:cs="Arial"/>
          <w:b/>
        </w:rPr>
        <w:t>:</w:t>
      </w:r>
      <w:r w:rsidR="003A5817" w:rsidRPr="00A257B9">
        <w:rPr>
          <w:rFonts w:ascii="Arial" w:hAnsi="Arial" w:cs="Arial"/>
        </w:rPr>
        <w:t xml:space="preserve"> Emissions arising </w:t>
      </w:r>
      <w:r w:rsidR="00E32C8D" w:rsidRPr="00A257B9">
        <w:rPr>
          <w:rFonts w:ascii="Arial" w:hAnsi="Arial" w:cs="Arial"/>
        </w:rPr>
        <w:t xml:space="preserve">directly </w:t>
      </w:r>
      <w:r w:rsidR="003A5817" w:rsidRPr="00A257B9">
        <w:rPr>
          <w:rFonts w:ascii="Arial" w:hAnsi="Arial" w:cs="Arial"/>
        </w:rPr>
        <w:t>from assets owned or controlle</w:t>
      </w:r>
      <w:r w:rsidR="00F96B5E" w:rsidRPr="00A257B9">
        <w:rPr>
          <w:rFonts w:ascii="Arial" w:hAnsi="Arial" w:cs="Arial"/>
        </w:rPr>
        <w:t>d by the reporting organisation, for example, the combustion of natural gas within a boiler owned by TDC.</w:t>
      </w:r>
    </w:p>
    <w:p w:rsidR="00FC63C1" w:rsidRPr="00A257B9" w:rsidRDefault="003A5817" w:rsidP="000D4E1F">
      <w:pPr>
        <w:ind w:left="426"/>
        <w:jc w:val="both"/>
        <w:rPr>
          <w:rFonts w:ascii="Arial" w:hAnsi="Arial" w:cs="Arial"/>
        </w:rPr>
      </w:pPr>
      <w:r w:rsidRPr="00A257B9">
        <w:rPr>
          <w:rFonts w:ascii="Arial" w:hAnsi="Arial" w:cs="Arial"/>
          <w:b/>
        </w:rPr>
        <w:t>Scope 2:</w:t>
      </w:r>
      <w:r w:rsidRPr="00A257B9">
        <w:rPr>
          <w:rFonts w:ascii="Arial" w:hAnsi="Arial" w:cs="Arial"/>
        </w:rPr>
        <w:t xml:space="preserve"> </w:t>
      </w:r>
      <w:r w:rsidR="00FC63C1" w:rsidRPr="00A257B9">
        <w:rPr>
          <w:rFonts w:ascii="Arial" w:hAnsi="Arial" w:cs="Arial"/>
        </w:rPr>
        <w:t>Emissions arising indirectly from energy cons</w:t>
      </w:r>
      <w:r w:rsidR="00F5415E" w:rsidRPr="00A257B9">
        <w:rPr>
          <w:rFonts w:ascii="Arial" w:hAnsi="Arial" w:cs="Arial"/>
        </w:rPr>
        <w:t>umption supplied by third-party-</w:t>
      </w:r>
      <w:r w:rsidR="00FC63C1" w:rsidRPr="00A257B9">
        <w:rPr>
          <w:rFonts w:ascii="Arial" w:hAnsi="Arial" w:cs="Arial"/>
        </w:rPr>
        <w:t>owned generation assets, for example</w:t>
      </w:r>
      <w:r w:rsidR="00F5415E" w:rsidRPr="00A257B9">
        <w:rPr>
          <w:rFonts w:ascii="Arial" w:hAnsi="Arial" w:cs="Arial"/>
        </w:rPr>
        <w:t>,</w:t>
      </w:r>
      <w:r w:rsidR="00FC63C1" w:rsidRPr="00A257B9">
        <w:rPr>
          <w:rFonts w:ascii="Arial" w:hAnsi="Arial" w:cs="Arial"/>
        </w:rPr>
        <w:t xml:space="preserve"> electricity.</w:t>
      </w:r>
    </w:p>
    <w:p w:rsidR="00884990" w:rsidRPr="00A257B9" w:rsidRDefault="003A5817" w:rsidP="00014206">
      <w:pPr>
        <w:ind w:left="426"/>
        <w:rPr>
          <w:rFonts w:ascii="Arial" w:hAnsi="Arial" w:cs="Arial"/>
        </w:rPr>
      </w:pPr>
      <w:r w:rsidRPr="00A257B9">
        <w:rPr>
          <w:rFonts w:ascii="Arial" w:hAnsi="Arial" w:cs="Arial"/>
          <w:b/>
        </w:rPr>
        <w:t>Scope 3:</w:t>
      </w:r>
      <w:r w:rsidRPr="00A257B9">
        <w:rPr>
          <w:rFonts w:ascii="Arial" w:hAnsi="Arial" w:cs="Arial"/>
        </w:rPr>
        <w:t xml:space="preserve"> </w:t>
      </w:r>
      <w:r w:rsidR="00C650B4" w:rsidRPr="00A257B9">
        <w:rPr>
          <w:rFonts w:ascii="Arial" w:hAnsi="Arial" w:cs="Arial"/>
        </w:rPr>
        <w:t>Emissions not included in scope 2 and aris</w:t>
      </w:r>
      <w:r w:rsidR="00E32C8D" w:rsidRPr="00A257B9">
        <w:rPr>
          <w:rFonts w:ascii="Arial" w:hAnsi="Arial" w:cs="Arial"/>
        </w:rPr>
        <w:t>ing</w:t>
      </w:r>
      <w:r w:rsidR="00C650B4" w:rsidRPr="00A257B9">
        <w:rPr>
          <w:rFonts w:ascii="Arial" w:hAnsi="Arial" w:cs="Arial"/>
        </w:rPr>
        <w:t xml:space="preserve"> from assets not owned or controlled by the reporting company, for example, </w:t>
      </w:r>
      <w:r w:rsidR="000A344B" w:rsidRPr="00A257B9">
        <w:rPr>
          <w:rFonts w:ascii="Arial" w:hAnsi="Arial" w:cs="Arial"/>
        </w:rPr>
        <w:t>purchased goods and services.</w:t>
      </w:r>
      <w:r w:rsidR="00725CD4" w:rsidRPr="00A257B9">
        <w:rPr>
          <w:rFonts w:ascii="Arial" w:hAnsi="Arial" w:cs="Arial"/>
        </w:rPr>
        <w:t xml:space="preserve"> </w:t>
      </w:r>
    </w:p>
    <w:p w:rsidR="00634D9F" w:rsidRPr="00A257B9" w:rsidRDefault="00C123E5" w:rsidP="001946F2">
      <w:pPr>
        <w:pStyle w:val="Heading1"/>
        <w:spacing w:before="360"/>
      </w:pPr>
      <w:r w:rsidRPr="00A257B9">
        <w:t>Overview of Emissions Activities</w:t>
      </w:r>
    </w:p>
    <w:p w:rsidR="00C123E5" w:rsidRPr="00A257B9" w:rsidRDefault="003D5A20" w:rsidP="00C123E5">
      <w:pPr>
        <w:pStyle w:val="Heading2"/>
      </w:pPr>
      <w:r w:rsidRPr="00A257B9">
        <w:t>Scope 1 Emissions</w:t>
      </w:r>
    </w:p>
    <w:p w:rsidR="004C38E2" w:rsidRPr="00A257B9" w:rsidRDefault="004C38E2" w:rsidP="004C38E2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TDC’s Scope 1 carbon footprint was 1,280 tonnes CO</w:t>
      </w:r>
      <w:r w:rsidRPr="00A257B9">
        <w:rPr>
          <w:rFonts w:ascii="Arial" w:hAnsi="Arial" w:cs="Arial"/>
          <w:vertAlign w:val="subscript"/>
        </w:rPr>
        <w:t>2</w:t>
      </w:r>
      <w:r w:rsidRPr="00A257B9">
        <w:rPr>
          <w:rFonts w:ascii="Arial" w:hAnsi="Arial" w:cs="Arial"/>
        </w:rPr>
        <w:t>e over the 2018/19 financial period.</w:t>
      </w:r>
      <w:r w:rsidR="008A5A9E" w:rsidRPr="00A257B9">
        <w:rPr>
          <w:rFonts w:ascii="Arial" w:hAnsi="Arial" w:cs="Arial"/>
        </w:rPr>
        <w:t xml:space="preserve"> </w:t>
      </w:r>
      <w:r w:rsidR="00395E5A" w:rsidRPr="00A257B9">
        <w:rPr>
          <w:rFonts w:ascii="Arial" w:hAnsi="Arial" w:cs="Arial"/>
        </w:rPr>
        <w:t>Heating and commercial vehicles share the vas</w:t>
      </w:r>
      <w:r w:rsidR="00D456EE" w:rsidRPr="00A257B9">
        <w:rPr>
          <w:rFonts w:ascii="Arial" w:hAnsi="Arial" w:cs="Arial"/>
        </w:rPr>
        <w:t xml:space="preserve">t majority of Scope 1 Emissions, as shown in </w:t>
      </w:r>
      <w:r w:rsidR="00014206" w:rsidRPr="00A257B9">
        <w:rPr>
          <w:rFonts w:ascii="Arial" w:hAnsi="Arial" w:cs="Arial"/>
        </w:rPr>
        <w:t>Table 2</w:t>
      </w:r>
      <w:r w:rsidR="00077C46" w:rsidRPr="00A257B9">
        <w:rPr>
          <w:rFonts w:ascii="Arial" w:hAnsi="Arial" w:cs="Arial"/>
        </w:rPr>
        <w:t xml:space="preserve"> and </w:t>
      </w:r>
      <w:r w:rsidR="00D456EE" w:rsidRPr="00A257B9">
        <w:rPr>
          <w:rFonts w:ascii="Arial" w:hAnsi="Arial" w:cs="Arial"/>
        </w:rPr>
        <w:t>Figure 1.</w:t>
      </w:r>
    </w:p>
    <w:p w:rsidR="00AC737B" w:rsidRPr="00A257B9" w:rsidRDefault="00AC737B" w:rsidP="00AC737B">
      <w:pPr>
        <w:jc w:val="both"/>
        <w:rPr>
          <w:rFonts w:ascii="Arial" w:hAnsi="Arial" w:cs="Arial"/>
          <w:i/>
          <w:color w:val="000000"/>
        </w:rPr>
      </w:pPr>
      <w:r w:rsidRPr="00A257B9">
        <w:rPr>
          <w:rFonts w:ascii="Arial" w:hAnsi="Arial" w:cs="Arial"/>
        </w:rPr>
        <w:t xml:space="preserve">Emissions associated with natural gas consumption account for </w:t>
      </w:r>
      <w:r w:rsidR="00CD2458" w:rsidRPr="00A257B9">
        <w:rPr>
          <w:rFonts w:ascii="Arial" w:hAnsi="Arial" w:cs="Arial"/>
        </w:rPr>
        <w:t>498</w:t>
      </w:r>
      <w:r w:rsidRPr="00A257B9">
        <w:rPr>
          <w:rFonts w:ascii="Arial" w:hAnsi="Arial" w:cs="Arial"/>
        </w:rPr>
        <w:t xml:space="preserve"> tonnes of CO</w:t>
      </w:r>
      <w:r w:rsidRPr="00A257B9">
        <w:rPr>
          <w:rFonts w:ascii="Arial" w:hAnsi="Arial" w:cs="Arial"/>
          <w:vertAlign w:val="subscript"/>
        </w:rPr>
        <w:t>2</w:t>
      </w:r>
      <w:r w:rsidRPr="00A257B9">
        <w:rPr>
          <w:rFonts w:ascii="Arial" w:hAnsi="Arial" w:cs="Arial"/>
        </w:rPr>
        <w:t xml:space="preserve">e and </w:t>
      </w:r>
      <w:r w:rsidR="00014206" w:rsidRPr="00A257B9">
        <w:rPr>
          <w:rFonts w:ascii="Arial" w:hAnsi="Arial" w:cs="Arial"/>
        </w:rPr>
        <w:t>have</w:t>
      </w:r>
      <w:r w:rsidRPr="00A257B9">
        <w:rPr>
          <w:rFonts w:ascii="Arial" w:hAnsi="Arial" w:cs="Arial"/>
        </w:rPr>
        <w:t xml:space="preserve"> been split into </w:t>
      </w:r>
      <w:r w:rsidR="00014206" w:rsidRPr="00A257B9">
        <w:rPr>
          <w:rFonts w:ascii="Arial" w:hAnsi="Arial" w:cs="Arial"/>
        </w:rPr>
        <w:t xml:space="preserve">two </w:t>
      </w:r>
      <w:r w:rsidRPr="00A257B9">
        <w:rPr>
          <w:rFonts w:ascii="Arial" w:hAnsi="Arial" w:cs="Arial"/>
        </w:rPr>
        <w:t xml:space="preserve">categories to highlight the areas TDC has the greatest influence over; this includes </w:t>
      </w:r>
      <w:r w:rsidRPr="00A257B9">
        <w:rPr>
          <w:rFonts w:ascii="Arial" w:hAnsi="Arial" w:cs="Arial"/>
          <w:i/>
        </w:rPr>
        <w:t>“</w:t>
      </w:r>
      <w:r w:rsidRPr="00A257B9">
        <w:rPr>
          <w:rFonts w:ascii="Arial" w:hAnsi="Arial" w:cs="Arial"/>
          <w:i/>
          <w:color w:val="000000"/>
        </w:rPr>
        <w:t>Sites Owned by TDC and Operated by TDC,”</w:t>
      </w:r>
      <w:r w:rsidRPr="00A257B9">
        <w:rPr>
          <w:rFonts w:ascii="Arial" w:hAnsi="Arial" w:cs="Arial"/>
          <w:color w:val="000000"/>
        </w:rPr>
        <w:t xml:space="preserve"> </w:t>
      </w:r>
      <w:r w:rsidR="009F719F" w:rsidRPr="00A257B9">
        <w:rPr>
          <w:rFonts w:ascii="Arial" w:hAnsi="Arial" w:cs="Arial"/>
          <w:color w:val="000000"/>
        </w:rPr>
        <w:t xml:space="preserve">and </w:t>
      </w:r>
      <w:r w:rsidRPr="00A257B9">
        <w:rPr>
          <w:rFonts w:ascii="Arial" w:hAnsi="Arial" w:cs="Arial"/>
          <w:i/>
          <w:color w:val="000000"/>
        </w:rPr>
        <w:t>“Sit</w:t>
      </w:r>
      <w:r w:rsidR="00014206" w:rsidRPr="00A257B9">
        <w:rPr>
          <w:rFonts w:ascii="Arial" w:hAnsi="Arial" w:cs="Arial"/>
          <w:i/>
          <w:color w:val="000000"/>
        </w:rPr>
        <w:t>es Owned by TDC and Leased Out.”</w:t>
      </w:r>
    </w:p>
    <w:p w:rsidR="00204D46" w:rsidRPr="00A257B9" w:rsidRDefault="00204D46" w:rsidP="004C38E2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 xml:space="preserve">Fugitive emissions </w:t>
      </w:r>
      <w:r w:rsidR="00014206" w:rsidRPr="00A257B9">
        <w:rPr>
          <w:rFonts w:ascii="Arial" w:hAnsi="Arial" w:cs="Arial"/>
        </w:rPr>
        <w:t>of 38 tonnes of CO</w:t>
      </w:r>
      <w:r w:rsidR="00014206" w:rsidRPr="00A257B9">
        <w:rPr>
          <w:rFonts w:ascii="Arial" w:hAnsi="Arial" w:cs="Arial"/>
          <w:vertAlign w:val="subscript"/>
        </w:rPr>
        <w:t>2</w:t>
      </w:r>
      <w:r w:rsidR="00014206" w:rsidRPr="00A257B9">
        <w:rPr>
          <w:rFonts w:ascii="Arial" w:hAnsi="Arial" w:cs="Arial"/>
        </w:rPr>
        <w:t xml:space="preserve">e </w:t>
      </w:r>
      <w:r w:rsidRPr="00A257B9">
        <w:rPr>
          <w:rFonts w:ascii="Arial" w:hAnsi="Arial" w:cs="Arial"/>
        </w:rPr>
        <w:t>from heating and ventilation equipment have been calculated in accordance with DEFRA guidance. No refrigeration leaks were recorded over the 2018/19 reporting period.</w:t>
      </w:r>
    </w:p>
    <w:p w:rsidR="001946F2" w:rsidRDefault="001946F2" w:rsidP="00194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Passenger transport emissions of 53 tonnes of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e cover the use of TDC’s single pool car and all claimed mileage including staff mileage and electoral canvassing mileage.</w:t>
      </w:r>
    </w:p>
    <w:p w:rsidR="00204D46" w:rsidRPr="00A257B9" w:rsidRDefault="00204D46" w:rsidP="004C38E2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Commercial vehicle emis</w:t>
      </w:r>
      <w:r w:rsidR="003A5FFC" w:rsidRPr="00A257B9">
        <w:rPr>
          <w:rFonts w:ascii="Arial" w:hAnsi="Arial" w:cs="Arial"/>
        </w:rPr>
        <w:t xml:space="preserve">sions </w:t>
      </w:r>
      <w:r w:rsidR="00CD2458" w:rsidRPr="00A257B9">
        <w:rPr>
          <w:rFonts w:ascii="Arial" w:hAnsi="Arial" w:cs="Arial"/>
        </w:rPr>
        <w:t>of 670</w:t>
      </w:r>
      <w:r w:rsidR="00014206" w:rsidRPr="00A257B9">
        <w:rPr>
          <w:rFonts w:ascii="Arial" w:hAnsi="Arial" w:cs="Arial"/>
        </w:rPr>
        <w:t xml:space="preserve"> tonnes of CO</w:t>
      </w:r>
      <w:r w:rsidR="00014206" w:rsidRPr="00A257B9">
        <w:rPr>
          <w:rFonts w:ascii="Arial" w:hAnsi="Arial" w:cs="Arial"/>
          <w:vertAlign w:val="subscript"/>
        </w:rPr>
        <w:t>2</w:t>
      </w:r>
      <w:r w:rsidR="00014206" w:rsidRPr="00A257B9">
        <w:rPr>
          <w:rFonts w:ascii="Arial" w:hAnsi="Arial" w:cs="Arial"/>
        </w:rPr>
        <w:t xml:space="preserve">e </w:t>
      </w:r>
      <w:r w:rsidR="003A5FFC" w:rsidRPr="00A257B9">
        <w:rPr>
          <w:rFonts w:ascii="Arial" w:hAnsi="Arial" w:cs="Arial"/>
        </w:rPr>
        <w:t>cover emissions fro</w:t>
      </w:r>
      <w:r w:rsidRPr="00A257B9">
        <w:rPr>
          <w:rFonts w:ascii="Arial" w:hAnsi="Arial" w:cs="Arial"/>
        </w:rPr>
        <w:t>m TDC’s fleet of leased light and heavy goods vehicles including warden vans and waste collection vehicles.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3D34AC" w:rsidRPr="00A257B9" w:rsidTr="001946F2">
        <w:trPr>
          <w:trHeight w:val="296"/>
          <w:tblHeader/>
        </w:trPr>
        <w:tc>
          <w:tcPr>
            <w:tcW w:w="90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D34AC" w:rsidRPr="00A257B9" w:rsidRDefault="00D456EE" w:rsidP="004E58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eastAsia="en-GB"/>
              </w:rPr>
            </w:pPr>
            <w:r w:rsidRPr="001946F2">
              <w:rPr>
                <w:rFonts w:ascii="Arial" w:eastAsia="Times New Roman" w:hAnsi="Arial" w:cs="Arial"/>
                <w:bCs/>
                <w:sz w:val="24"/>
                <w:lang w:eastAsia="en-GB"/>
              </w:rPr>
              <w:t>Table 2</w:t>
            </w:r>
            <w:r w:rsidR="003D34AC" w:rsidRPr="001946F2">
              <w:rPr>
                <w:rFonts w:ascii="Arial" w:eastAsia="Times New Roman" w:hAnsi="Arial" w:cs="Arial"/>
                <w:bCs/>
                <w:sz w:val="24"/>
                <w:lang w:eastAsia="en-GB"/>
              </w:rPr>
              <w:t>: Summary of Scope 1 Emissions</w:t>
            </w:r>
          </w:p>
        </w:tc>
      </w:tr>
      <w:tr w:rsidR="00CE42B0" w:rsidRPr="00A257B9" w:rsidTr="001946F2">
        <w:trPr>
          <w:trHeight w:val="296"/>
          <w:tblHeader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002060"/>
            <w:noWrap/>
            <w:vAlign w:val="center"/>
            <w:hideMark/>
          </w:tcPr>
          <w:p w:rsidR="00CE42B0" w:rsidRPr="00A257B9" w:rsidRDefault="00CE42B0" w:rsidP="00396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 Emissions Activity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002060"/>
            <w:vAlign w:val="center"/>
          </w:tcPr>
          <w:p w:rsidR="00CE42B0" w:rsidRPr="00A257B9" w:rsidRDefault="00CE42B0" w:rsidP="00396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Emissions</w:t>
            </w:r>
          </w:p>
          <w:p w:rsidR="00CE42B0" w:rsidRPr="00A257B9" w:rsidRDefault="009F719F" w:rsidP="00396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(tonnes</w:t>
            </w:r>
            <w:r w:rsidR="00CE42B0"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 CO</w:t>
            </w:r>
            <w:r w:rsidR="00CE42B0" w:rsidRPr="00A257B9">
              <w:rPr>
                <w:rFonts w:ascii="Arial" w:eastAsia="Times New Roman" w:hAnsi="Arial" w:cs="Arial"/>
                <w:b/>
                <w:bCs/>
                <w:color w:val="FFFFFF"/>
                <w:vertAlign w:val="subscript"/>
                <w:lang w:eastAsia="en-GB"/>
              </w:rPr>
              <w:t>2</w:t>
            </w:r>
            <w:r w:rsidR="00CE42B0"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e)</w:t>
            </w:r>
          </w:p>
        </w:tc>
      </w:tr>
      <w:tr w:rsidR="003D34AC" w:rsidRPr="00A257B9" w:rsidTr="00215D56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5" w:themeFillTint="33"/>
            <w:noWrap/>
            <w:vAlign w:val="bottom"/>
          </w:tcPr>
          <w:p w:rsidR="003D34AC" w:rsidRPr="00A257B9" w:rsidRDefault="003D34AC" w:rsidP="0039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Heating</w:t>
            </w:r>
          </w:p>
        </w:tc>
      </w:tr>
      <w:tr w:rsidR="000D4E1F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Fuel Oil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D4E1F" w:rsidRPr="00A257B9" w:rsidRDefault="000D4E1F" w:rsidP="000D4E1F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10.9</w:t>
            </w:r>
          </w:p>
        </w:tc>
      </w:tr>
      <w:tr w:rsidR="000D4E1F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Natural Gas (Sites Owned by TDC and Operated by TDC)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D4E1F" w:rsidRPr="00A257B9" w:rsidRDefault="000D4E1F" w:rsidP="000D4E1F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484.2</w:t>
            </w:r>
          </w:p>
        </w:tc>
      </w:tr>
      <w:tr w:rsidR="000D4E1F" w:rsidRPr="00A257B9" w:rsidTr="005E25C7">
        <w:trPr>
          <w:trHeight w:val="60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Natural Gas (Sites Owned by TDC and Leased Out)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D4E1F" w:rsidRPr="00A257B9" w:rsidRDefault="000D4E1F" w:rsidP="000D4E1F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13.4</w:t>
            </w:r>
          </w:p>
        </w:tc>
      </w:tr>
      <w:tr w:rsidR="000D4E1F" w:rsidRPr="00A257B9" w:rsidTr="005E25C7">
        <w:trPr>
          <w:trHeight w:val="60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Bioenergy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D4E1F" w:rsidRPr="00A257B9" w:rsidRDefault="000D4E1F" w:rsidP="000D4E1F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10.8</w:t>
            </w:r>
          </w:p>
        </w:tc>
      </w:tr>
      <w:tr w:rsidR="000D4E1F" w:rsidRPr="00A257B9" w:rsidTr="005E25C7">
        <w:trPr>
          <w:trHeight w:val="60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  <w:b/>
              </w:rPr>
            </w:pPr>
            <w:r w:rsidRPr="00A257B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D4E1F" w:rsidRPr="00A257B9" w:rsidRDefault="000D4E1F" w:rsidP="000D4E1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257B9">
              <w:rPr>
                <w:rFonts w:ascii="Arial" w:hAnsi="Arial" w:cs="Arial"/>
                <w:b/>
              </w:rPr>
              <w:t>519.4</w:t>
            </w:r>
          </w:p>
        </w:tc>
      </w:tr>
      <w:tr w:rsidR="003D34AC" w:rsidRPr="00A257B9" w:rsidTr="00215D56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5" w:themeFillTint="33"/>
            <w:noWrap/>
            <w:vAlign w:val="bottom"/>
          </w:tcPr>
          <w:p w:rsidR="003D34AC" w:rsidRPr="00A257B9" w:rsidRDefault="00204D46" w:rsidP="0039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Fugitive Emissions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8A5A9E" w:rsidRPr="00A257B9" w:rsidRDefault="008A5A9E" w:rsidP="003965BB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color w:val="000000"/>
                <w:lang w:eastAsia="en-GB"/>
              </w:rPr>
              <w:t>Refrigerant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color w:val="000000"/>
                <w:lang w:eastAsia="en-GB"/>
              </w:rPr>
              <w:t>38.0</w:t>
            </w:r>
          </w:p>
        </w:tc>
      </w:tr>
      <w:tr w:rsidR="0087686D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87686D" w:rsidRPr="00A257B9" w:rsidRDefault="000D4E1F" w:rsidP="003965BB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7686D" w:rsidRPr="00A257B9" w:rsidRDefault="0087686D" w:rsidP="00396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38.0</w:t>
            </w:r>
          </w:p>
        </w:tc>
      </w:tr>
      <w:tr w:rsidR="003D34AC" w:rsidRPr="00A257B9" w:rsidTr="00215D56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5" w:themeFillTint="33"/>
            <w:noWrap/>
            <w:vAlign w:val="bottom"/>
          </w:tcPr>
          <w:p w:rsidR="003D34AC" w:rsidRPr="00A257B9" w:rsidRDefault="008A5A9E" w:rsidP="0039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Passenger </w:t>
            </w:r>
            <w:r w:rsidR="003D34AC" w:rsidRPr="00A257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Transport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8A5A9E" w:rsidRPr="00A257B9" w:rsidRDefault="008A5A9E" w:rsidP="003965BB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color w:val="000000"/>
                <w:lang w:eastAsia="en-GB"/>
              </w:rPr>
              <w:t>Pool Cars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0.8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8A5A9E" w:rsidRPr="00A257B9" w:rsidRDefault="008A5A9E" w:rsidP="003965BB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color w:val="000000"/>
                <w:lang w:eastAsia="en-GB"/>
              </w:rPr>
              <w:t>Claimed Mileage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52.2</w:t>
            </w:r>
          </w:p>
        </w:tc>
      </w:tr>
      <w:tr w:rsidR="0087686D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87686D" w:rsidRPr="00A257B9" w:rsidRDefault="0087686D" w:rsidP="000D4E1F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</w:t>
            </w:r>
            <w:r w:rsidR="000D4E1F"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686D" w:rsidRPr="00A257B9" w:rsidRDefault="0087686D" w:rsidP="003965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57B9">
              <w:rPr>
                <w:rFonts w:ascii="Arial" w:hAnsi="Arial" w:cs="Arial"/>
                <w:b/>
              </w:rPr>
              <w:t>53.0</w:t>
            </w:r>
          </w:p>
        </w:tc>
      </w:tr>
      <w:tr w:rsidR="003D34AC" w:rsidRPr="00A257B9" w:rsidTr="00215D56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5" w:themeFillTint="33"/>
            <w:noWrap/>
            <w:vAlign w:val="bottom"/>
          </w:tcPr>
          <w:p w:rsidR="003D34AC" w:rsidRPr="00A257B9" w:rsidRDefault="003D34AC" w:rsidP="0039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Commercial Vehicles</w:t>
            </w:r>
          </w:p>
        </w:tc>
      </w:tr>
      <w:tr w:rsidR="000D4E1F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Light Goods Vehicle (Van)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4E1F" w:rsidRPr="00A257B9" w:rsidRDefault="000D4E1F" w:rsidP="00077C46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139.4</w:t>
            </w:r>
          </w:p>
        </w:tc>
      </w:tr>
      <w:tr w:rsidR="000D4E1F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Heavy Goods Vehicle (&gt;3.5 - 7.5 tonnes)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4E1F" w:rsidRPr="00A257B9" w:rsidRDefault="000D4E1F" w:rsidP="00077C46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19.0</w:t>
            </w:r>
          </w:p>
        </w:tc>
      </w:tr>
      <w:tr w:rsidR="000D4E1F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Heavy Goods Vehicle (&gt;7.5 tonnes-17 tonnes)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4E1F" w:rsidRPr="00A257B9" w:rsidRDefault="000D4E1F" w:rsidP="00077C46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242.3</w:t>
            </w:r>
          </w:p>
        </w:tc>
      </w:tr>
      <w:tr w:rsidR="000D4E1F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:rsidR="000D4E1F" w:rsidRPr="00A257B9" w:rsidRDefault="000D4E1F" w:rsidP="000D4E1F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Heavy Goods Vehicle (&gt;17 tonnes)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4E1F" w:rsidRPr="00A257B9" w:rsidRDefault="000D4E1F" w:rsidP="00077C46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269.0</w:t>
            </w:r>
          </w:p>
        </w:tc>
      </w:tr>
      <w:tr w:rsidR="0087686D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87686D" w:rsidRPr="00A257B9" w:rsidRDefault="000D4E1F" w:rsidP="003965BB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686D" w:rsidRPr="00A257B9" w:rsidRDefault="000D4E1F" w:rsidP="003965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57B9">
              <w:rPr>
                <w:rFonts w:ascii="Arial" w:hAnsi="Arial" w:cs="Arial"/>
                <w:b/>
              </w:rPr>
              <w:t>669.7</w:t>
            </w:r>
          </w:p>
        </w:tc>
      </w:tr>
      <w:tr w:rsidR="008A5A9E" w:rsidRPr="00A257B9" w:rsidTr="005E25C7">
        <w:trPr>
          <w:trHeight w:val="60"/>
        </w:trPr>
        <w:tc>
          <w:tcPr>
            <w:tcW w:w="694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</w:tcPr>
          <w:p w:rsidR="008A5A9E" w:rsidRPr="00A257B9" w:rsidRDefault="0087686D" w:rsidP="005E25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GRAND </w:t>
            </w:r>
            <w:r w:rsidR="008A5A9E"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212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1,280</w:t>
            </w:r>
            <w:r w:rsidR="000D4E1F" w:rsidRPr="00A257B9">
              <w:rPr>
                <w:rFonts w:ascii="Arial" w:hAnsi="Arial" w:cs="Arial"/>
                <w:b/>
                <w:color w:val="000000"/>
              </w:rPr>
              <w:t>.1</w:t>
            </w:r>
          </w:p>
        </w:tc>
      </w:tr>
    </w:tbl>
    <w:p w:rsidR="00BD72BA" w:rsidRPr="00A257B9" w:rsidRDefault="00112767" w:rsidP="00BD72BA">
      <w:pPr>
        <w:keepNext/>
        <w:jc w:val="center"/>
        <w:rPr>
          <w:rFonts w:ascii="Arial" w:hAnsi="Arial" w:cs="Arial"/>
        </w:rPr>
      </w:pPr>
      <w:r w:rsidRPr="00A257B9">
        <w:rPr>
          <w:rFonts w:ascii="Arial" w:hAnsi="Arial" w:cs="Arial"/>
          <w:noProof/>
          <w:lang w:eastAsia="en-GB"/>
        </w:rPr>
        <w:drawing>
          <wp:inline distT="0" distB="0" distL="0" distR="0" wp14:anchorId="01169302" wp14:editId="5C6EA218">
            <wp:extent cx="5731510" cy="3582035"/>
            <wp:effectExtent l="0" t="0" r="2540" b="0"/>
            <wp:docPr id="14" name="Chart 14" title="Carbon Emissions (tonnes CO2e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5DBE" w:rsidRPr="00756373" w:rsidRDefault="00BD72BA" w:rsidP="00BD72BA">
      <w:pPr>
        <w:pStyle w:val="Caption"/>
        <w:jc w:val="center"/>
        <w:rPr>
          <w:rFonts w:ascii="Arial" w:hAnsi="Arial" w:cs="Arial"/>
          <w:i w:val="0"/>
          <w:sz w:val="24"/>
          <w:szCs w:val="24"/>
        </w:rPr>
      </w:pPr>
      <w:r w:rsidRPr="00756373">
        <w:rPr>
          <w:rFonts w:ascii="Arial" w:hAnsi="Arial" w:cs="Arial"/>
          <w:i w:val="0"/>
          <w:sz w:val="24"/>
          <w:szCs w:val="24"/>
        </w:rPr>
        <w:t xml:space="preserve">Figure </w:t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fldChar w:fldCharType="begin"/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instrText xml:space="preserve"> SEQ Figure \* ARABIC </w:instrText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fldChar w:fldCharType="separate"/>
      </w:r>
      <w:r w:rsidR="00356516">
        <w:rPr>
          <w:rFonts w:ascii="Arial" w:hAnsi="Arial" w:cs="Arial"/>
          <w:i w:val="0"/>
          <w:noProof/>
          <w:sz w:val="24"/>
          <w:szCs w:val="24"/>
        </w:rPr>
        <w:t>1</w:t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fldChar w:fldCharType="end"/>
      </w:r>
      <w:r w:rsidRPr="00756373">
        <w:rPr>
          <w:rFonts w:ascii="Arial" w:hAnsi="Arial" w:cs="Arial"/>
          <w:i w:val="0"/>
          <w:sz w:val="24"/>
          <w:szCs w:val="24"/>
        </w:rPr>
        <w:t>: Scope 1 Emissions</w:t>
      </w:r>
    </w:p>
    <w:p w:rsidR="00A02ABE" w:rsidRPr="00A257B9" w:rsidRDefault="00C123E5" w:rsidP="00C123E5">
      <w:pPr>
        <w:pStyle w:val="Heading2"/>
      </w:pPr>
      <w:r w:rsidRPr="00A257B9">
        <w:t>Scope 2</w:t>
      </w:r>
      <w:r w:rsidR="00770449" w:rsidRPr="00A257B9">
        <w:t xml:space="preserve"> Emissions</w:t>
      </w:r>
    </w:p>
    <w:p w:rsidR="00204D46" w:rsidRPr="00A257B9" w:rsidRDefault="00204D46" w:rsidP="00260C13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 xml:space="preserve">TDC’s Scope 2 Emissions </w:t>
      </w:r>
      <w:r w:rsidR="002A1719" w:rsidRPr="00A257B9">
        <w:rPr>
          <w:rFonts w:ascii="Arial" w:hAnsi="Arial" w:cs="Arial"/>
        </w:rPr>
        <w:t>were 719 tonnes CO</w:t>
      </w:r>
      <w:r w:rsidR="002A1719" w:rsidRPr="00A257B9">
        <w:rPr>
          <w:rFonts w:ascii="Arial" w:hAnsi="Arial" w:cs="Arial"/>
          <w:vertAlign w:val="subscript"/>
        </w:rPr>
        <w:t>2</w:t>
      </w:r>
      <w:r w:rsidR="002A1719" w:rsidRPr="00A257B9">
        <w:rPr>
          <w:rFonts w:ascii="Arial" w:hAnsi="Arial" w:cs="Arial"/>
        </w:rPr>
        <w:t>e over the 2018/19 reporting period and consist solely of emissions from electricity consumption.</w:t>
      </w:r>
    </w:p>
    <w:p w:rsidR="00014206" w:rsidRPr="00A257B9" w:rsidRDefault="00014206" w:rsidP="002A1719">
      <w:pPr>
        <w:jc w:val="both"/>
        <w:rPr>
          <w:rFonts w:ascii="Arial" w:hAnsi="Arial" w:cs="Arial"/>
          <w:i/>
          <w:color w:val="000000"/>
        </w:rPr>
      </w:pPr>
      <w:r w:rsidRPr="00A257B9">
        <w:rPr>
          <w:rFonts w:ascii="Arial" w:hAnsi="Arial" w:cs="Arial"/>
        </w:rPr>
        <w:t xml:space="preserve">Emissions associated with electricity consumption have been split into three categories to highlight the areas TDC has the greatest influence over; this includes </w:t>
      </w:r>
      <w:r w:rsidRPr="00A257B9">
        <w:rPr>
          <w:rFonts w:ascii="Arial" w:hAnsi="Arial" w:cs="Arial"/>
          <w:i/>
        </w:rPr>
        <w:t xml:space="preserve">“Top 20 Sites - </w:t>
      </w:r>
      <w:r w:rsidRPr="00A257B9">
        <w:rPr>
          <w:rFonts w:ascii="Arial" w:hAnsi="Arial" w:cs="Arial"/>
          <w:i/>
          <w:color w:val="000000"/>
        </w:rPr>
        <w:t>Sites Owned by TDC and Operated by TDC,”</w:t>
      </w:r>
      <w:r w:rsidRPr="00A257B9">
        <w:rPr>
          <w:rFonts w:ascii="Arial" w:hAnsi="Arial" w:cs="Arial"/>
          <w:color w:val="000000"/>
        </w:rPr>
        <w:t xml:space="preserve"> </w:t>
      </w:r>
      <w:r w:rsidRPr="00A257B9">
        <w:rPr>
          <w:rFonts w:ascii="Arial" w:hAnsi="Arial" w:cs="Arial"/>
          <w:i/>
          <w:color w:val="000000"/>
        </w:rPr>
        <w:t xml:space="preserve">“Top 20 Sites - Sites Owned by TDC and Leased Out,” </w:t>
      </w:r>
      <w:r w:rsidRPr="00A257B9">
        <w:rPr>
          <w:rFonts w:ascii="Arial" w:hAnsi="Arial" w:cs="Arial"/>
          <w:color w:val="000000"/>
        </w:rPr>
        <w:t xml:space="preserve">and </w:t>
      </w:r>
      <w:r w:rsidRPr="00A257B9">
        <w:rPr>
          <w:rFonts w:ascii="Arial" w:hAnsi="Arial" w:cs="Arial"/>
          <w:i/>
          <w:color w:val="000000"/>
        </w:rPr>
        <w:t>“All Other Sites.”</w:t>
      </w:r>
    </w:p>
    <w:p w:rsidR="00373E1F" w:rsidRPr="00A257B9" w:rsidRDefault="002A1719" w:rsidP="002A1719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lastRenderedPageBreak/>
        <w:t xml:space="preserve">Offset </w:t>
      </w:r>
      <w:r w:rsidR="00014206" w:rsidRPr="00A257B9">
        <w:rPr>
          <w:rFonts w:ascii="Arial" w:hAnsi="Arial" w:cs="Arial"/>
        </w:rPr>
        <w:t xml:space="preserve">grid </w:t>
      </w:r>
      <w:r w:rsidRPr="00A257B9">
        <w:rPr>
          <w:rFonts w:ascii="Arial" w:hAnsi="Arial" w:cs="Arial"/>
        </w:rPr>
        <w:t>electr</w:t>
      </w:r>
      <w:r w:rsidR="00014206" w:rsidRPr="00A257B9">
        <w:rPr>
          <w:rFonts w:ascii="Arial" w:hAnsi="Arial" w:cs="Arial"/>
        </w:rPr>
        <w:t xml:space="preserve">icity consumption </w:t>
      </w:r>
      <w:r w:rsidR="00F84FAA" w:rsidRPr="00A257B9">
        <w:rPr>
          <w:rFonts w:ascii="Arial" w:hAnsi="Arial" w:cs="Arial"/>
        </w:rPr>
        <w:t xml:space="preserve">by </w:t>
      </w:r>
      <w:r w:rsidR="00E32C8D" w:rsidRPr="00A257B9">
        <w:rPr>
          <w:rFonts w:ascii="Arial" w:hAnsi="Arial" w:cs="Arial"/>
        </w:rPr>
        <w:t xml:space="preserve">on-site </w:t>
      </w:r>
      <w:r w:rsidR="00F84FAA" w:rsidRPr="00A257B9">
        <w:rPr>
          <w:rFonts w:ascii="Arial" w:hAnsi="Arial" w:cs="Arial"/>
        </w:rPr>
        <w:t xml:space="preserve">renewable energy generation has been accounted for within the underlying energy consumption data. In </w:t>
      </w:r>
      <w:r w:rsidR="003A5FFC" w:rsidRPr="00A257B9">
        <w:rPr>
          <w:rFonts w:ascii="Arial" w:hAnsi="Arial" w:cs="Arial"/>
        </w:rPr>
        <w:t xml:space="preserve">the </w:t>
      </w:r>
      <w:r w:rsidR="00F84FAA" w:rsidRPr="00A257B9">
        <w:rPr>
          <w:rFonts w:ascii="Arial" w:hAnsi="Arial" w:cs="Arial"/>
        </w:rPr>
        <w:t>absence of export metering, all renewable energy is assumed to hav</w:t>
      </w:r>
      <w:r w:rsidR="009F719F" w:rsidRPr="00A257B9">
        <w:rPr>
          <w:rFonts w:ascii="Arial" w:hAnsi="Arial" w:cs="Arial"/>
        </w:rPr>
        <w:t>e been consumed on site; this has</w:t>
      </w:r>
      <w:r w:rsidR="00F84FAA" w:rsidRPr="00A257B9">
        <w:rPr>
          <w:rFonts w:ascii="Arial" w:hAnsi="Arial" w:cs="Arial"/>
        </w:rPr>
        <w:t xml:space="preserve"> broadly </w:t>
      </w:r>
      <w:r w:rsidR="009F719F" w:rsidRPr="00A257B9">
        <w:rPr>
          <w:rFonts w:ascii="Arial" w:hAnsi="Arial" w:cs="Arial"/>
        </w:rPr>
        <w:t xml:space="preserve">been </w:t>
      </w:r>
      <w:r w:rsidR="00F84FAA" w:rsidRPr="00A257B9">
        <w:rPr>
          <w:rFonts w:ascii="Arial" w:hAnsi="Arial" w:cs="Arial"/>
        </w:rPr>
        <w:t>observed energy consumption profiles.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770449" w:rsidRPr="00A257B9" w:rsidTr="00215D56">
        <w:trPr>
          <w:trHeight w:val="296"/>
        </w:trPr>
        <w:tc>
          <w:tcPr>
            <w:tcW w:w="90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770449" w:rsidRPr="00A257B9" w:rsidRDefault="00373E1F" w:rsidP="00396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lang w:eastAsia="en-GB"/>
              </w:rPr>
            </w:pPr>
            <w:r w:rsidRPr="001946F2">
              <w:rPr>
                <w:rFonts w:ascii="Arial" w:eastAsia="Times New Roman" w:hAnsi="Arial" w:cs="Arial"/>
                <w:bCs/>
                <w:sz w:val="24"/>
                <w:lang w:eastAsia="en-GB"/>
              </w:rPr>
              <w:t>Table 3</w:t>
            </w:r>
            <w:r w:rsidR="00770449" w:rsidRPr="001946F2">
              <w:rPr>
                <w:rFonts w:ascii="Arial" w:eastAsia="Times New Roman" w:hAnsi="Arial" w:cs="Arial"/>
                <w:bCs/>
                <w:sz w:val="24"/>
                <w:lang w:eastAsia="en-GB"/>
              </w:rPr>
              <w:t xml:space="preserve">: </w:t>
            </w:r>
            <w:r w:rsidR="00C313BA" w:rsidRPr="001946F2">
              <w:rPr>
                <w:rFonts w:ascii="Arial" w:eastAsia="Times New Roman" w:hAnsi="Arial" w:cs="Arial"/>
                <w:bCs/>
                <w:sz w:val="24"/>
                <w:lang w:eastAsia="en-GB"/>
              </w:rPr>
              <w:t>Summary of Scope 2</w:t>
            </w:r>
            <w:r w:rsidR="00770449" w:rsidRPr="001946F2">
              <w:rPr>
                <w:rFonts w:ascii="Arial" w:eastAsia="Times New Roman" w:hAnsi="Arial" w:cs="Arial"/>
                <w:bCs/>
                <w:sz w:val="24"/>
                <w:lang w:eastAsia="en-GB"/>
              </w:rPr>
              <w:t xml:space="preserve"> Emissions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002060"/>
            <w:noWrap/>
            <w:vAlign w:val="center"/>
            <w:hideMark/>
          </w:tcPr>
          <w:p w:rsidR="008A5A9E" w:rsidRPr="00A257B9" w:rsidRDefault="008A5A9E" w:rsidP="00396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 Emissions Activity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002060"/>
            <w:vAlign w:val="center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Emissions</w:t>
            </w:r>
          </w:p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(tonnes CO</w:t>
            </w:r>
            <w:r w:rsidRPr="00A257B9">
              <w:rPr>
                <w:rFonts w:ascii="Arial" w:eastAsia="Times New Roman" w:hAnsi="Arial" w:cs="Arial"/>
                <w:b/>
                <w:bCs/>
                <w:color w:val="FFFFFF"/>
                <w:vertAlign w:val="subscript"/>
                <w:lang w:eastAsia="en-GB"/>
              </w:rPr>
              <w:t>2</w:t>
            </w:r>
            <w:r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e)</w:t>
            </w:r>
          </w:p>
        </w:tc>
      </w:tr>
      <w:tr w:rsidR="00770449" w:rsidRPr="00A257B9" w:rsidTr="00215D56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noWrap/>
            <w:vAlign w:val="bottom"/>
          </w:tcPr>
          <w:p w:rsidR="00770449" w:rsidRPr="00A257B9" w:rsidRDefault="00770449" w:rsidP="0039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Grid Electricity Consumption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8A5A9E" w:rsidRPr="00A257B9" w:rsidRDefault="008A5A9E" w:rsidP="003965BB">
            <w:pPr>
              <w:spacing w:after="0" w:line="240" w:lineRule="auto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Grid Supplied E</w:t>
            </w:r>
            <w:r w:rsidR="006A613C" w:rsidRPr="00A257B9">
              <w:rPr>
                <w:rFonts w:ascii="Arial" w:hAnsi="Arial" w:cs="Arial"/>
                <w:color w:val="000000"/>
              </w:rPr>
              <w:t>lectricity (Top 20 Sites - Sites</w:t>
            </w:r>
            <w:r w:rsidRPr="00A257B9">
              <w:rPr>
                <w:rFonts w:ascii="Arial" w:hAnsi="Arial" w:cs="Arial"/>
                <w:color w:val="000000"/>
              </w:rPr>
              <w:t xml:space="preserve"> Owned by TDC and Operated by TDC)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596.8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8A5A9E" w:rsidRPr="00A257B9" w:rsidRDefault="008A5A9E" w:rsidP="006A613C">
            <w:pPr>
              <w:spacing w:after="0" w:line="240" w:lineRule="auto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 xml:space="preserve">Grid Supplied Electricity (Top 20 </w:t>
            </w:r>
            <w:r w:rsidR="006A613C" w:rsidRPr="00A257B9">
              <w:rPr>
                <w:rFonts w:ascii="Arial" w:hAnsi="Arial" w:cs="Arial"/>
                <w:color w:val="000000"/>
              </w:rPr>
              <w:t>Sites- Sites</w:t>
            </w:r>
            <w:r w:rsidRPr="00A257B9">
              <w:rPr>
                <w:rFonts w:ascii="Arial" w:hAnsi="Arial" w:cs="Arial"/>
                <w:color w:val="000000"/>
              </w:rPr>
              <w:t xml:space="preserve"> Owned by TDC and Leased Out)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64.5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:rsidR="008A5A9E" w:rsidRPr="00A257B9" w:rsidRDefault="008A5A9E" w:rsidP="003965BB">
            <w:pPr>
              <w:spacing w:after="0" w:line="240" w:lineRule="auto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Grid Supplied Electricity (All Other Sites)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9E" w:rsidRPr="00A257B9" w:rsidRDefault="008A5A9E" w:rsidP="00396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57.6</w:t>
            </w:r>
          </w:p>
        </w:tc>
      </w:tr>
      <w:tr w:rsidR="008A5A9E" w:rsidRPr="00A257B9" w:rsidTr="005E25C7">
        <w:trPr>
          <w:trHeight w:val="296"/>
        </w:trPr>
        <w:tc>
          <w:tcPr>
            <w:tcW w:w="694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</w:tcPr>
          <w:p w:rsidR="008A5A9E" w:rsidRPr="00A257B9" w:rsidRDefault="00395E5A" w:rsidP="003965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 xml:space="preserve">GRAND </w:t>
            </w:r>
            <w:r w:rsidR="008A5A9E" w:rsidRPr="00A257B9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:rsidR="008A5A9E" w:rsidRPr="00A257B9" w:rsidRDefault="00373E1F" w:rsidP="003965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718.9</w:t>
            </w:r>
          </w:p>
        </w:tc>
      </w:tr>
    </w:tbl>
    <w:p w:rsidR="00770449" w:rsidRPr="00A257B9" w:rsidRDefault="00770449" w:rsidP="00770449">
      <w:pPr>
        <w:rPr>
          <w:rFonts w:ascii="Arial" w:hAnsi="Arial" w:cs="Arial"/>
        </w:rPr>
      </w:pPr>
    </w:p>
    <w:p w:rsidR="00BD72BA" w:rsidRPr="00A257B9" w:rsidRDefault="00373E1F" w:rsidP="00BD72BA">
      <w:pPr>
        <w:keepNext/>
        <w:jc w:val="center"/>
        <w:rPr>
          <w:rFonts w:ascii="Arial" w:hAnsi="Arial" w:cs="Arial"/>
        </w:rPr>
      </w:pPr>
      <w:r w:rsidRPr="00A257B9">
        <w:rPr>
          <w:rFonts w:ascii="Arial" w:hAnsi="Arial" w:cs="Arial"/>
          <w:noProof/>
          <w:lang w:eastAsia="en-GB"/>
        </w:rPr>
        <w:drawing>
          <wp:inline distT="0" distB="0" distL="0" distR="0" wp14:anchorId="563BF64E" wp14:editId="3B35D35B">
            <wp:extent cx="5731510" cy="3582035"/>
            <wp:effectExtent l="0" t="0" r="2540" b="0"/>
            <wp:docPr id="6" name="Chart 6" descr="Carbon emmisions at TDC sites from Gris supplied electricity" title="Carbon Emissions tonnes (CO2e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5DBE" w:rsidRPr="00756373" w:rsidRDefault="00BD72BA" w:rsidP="00BD72BA">
      <w:pPr>
        <w:pStyle w:val="Caption"/>
        <w:jc w:val="center"/>
        <w:rPr>
          <w:rFonts w:ascii="Arial" w:hAnsi="Arial" w:cs="Arial"/>
          <w:i w:val="0"/>
          <w:sz w:val="24"/>
          <w:szCs w:val="24"/>
        </w:rPr>
      </w:pPr>
      <w:r w:rsidRPr="00756373">
        <w:rPr>
          <w:rFonts w:ascii="Arial" w:hAnsi="Arial" w:cs="Arial"/>
          <w:i w:val="0"/>
          <w:sz w:val="24"/>
          <w:szCs w:val="24"/>
        </w:rPr>
        <w:t xml:space="preserve">Figure </w:t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fldChar w:fldCharType="begin"/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instrText xml:space="preserve"> SEQ Figure \* ARABIC </w:instrText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fldChar w:fldCharType="separate"/>
      </w:r>
      <w:r w:rsidR="00356516">
        <w:rPr>
          <w:rFonts w:ascii="Arial" w:hAnsi="Arial" w:cs="Arial"/>
          <w:i w:val="0"/>
          <w:noProof/>
          <w:sz w:val="24"/>
          <w:szCs w:val="24"/>
        </w:rPr>
        <w:t>2</w:t>
      </w:r>
      <w:r w:rsidR="00FF0EC5" w:rsidRPr="00756373">
        <w:rPr>
          <w:rFonts w:ascii="Arial" w:hAnsi="Arial" w:cs="Arial"/>
          <w:i w:val="0"/>
          <w:noProof/>
          <w:sz w:val="24"/>
          <w:szCs w:val="24"/>
        </w:rPr>
        <w:fldChar w:fldCharType="end"/>
      </w:r>
      <w:r w:rsidRPr="00756373">
        <w:rPr>
          <w:rFonts w:ascii="Arial" w:hAnsi="Arial" w:cs="Arial"/>
          <w:i w:val="0"/>
          <w:sz w:val="24"/>
          <w:szCs w:val="24"/>
        </w:rPr>
        <w:t>: Scope 2 Emissions</w:t>
      </w:r>
    </w:p>
    <w:p w:rsidR="00F84FAA" w:rsidRPr="00A257B9" w:rsidRDefault="00C123E5" w:rsidP="00F84FAA">
      <w:pPr>
        <w:pStyle w:val="Heading2"/>
      </w:pPr>
      <w:r w:rsidRPr="00A257B9">
        <w:t>Scope 3</w:t>
      </w:r>
      <w:r w:rsidR="003D5A20" w:rsidRPr="00A257B9">
        <w:t xml:space="preserve"> Emissions</w:t>
      </w:r>
    </w:p>
    <w:p w:rsidR="00215D56" w:rsidRPr="00A257B9" w:rsidRDefault="001C3207" w:rsidP="00395E5A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TDC’s Scope 3</w:t>
      </w:r>
      <w:r w:rsidR="00215D56" w:rsidRPr="00A257B9">
        <w:rPr>
          <w:rFonts w:ascii="Arial" w:hAnsi="Arial" w:cs="Arial"/>
        </w:rPr>
        <w:t xml:space="preserve"> Emissions </w:t>
      </w:r>
      <w:r w:rsidR="00CD2458" w:rsidRPr="00A257B9">
        <w:rPr>
          <w:rFonts w:ascii="Arial" w:hAnsi="Arial" w:cs="Arial"/>
        </w:rPr>
        <w:t>were 6,735</w:t>
      </w:r>
      <w:r w:rsidR="00215D56" w:rsidRPr="00A257B9">
        <w:rPr>
          <w:rFonts w:ascii="Arial" w:hAnsi="Arial" w:cs="Arial"/>
        </w:rPr>
        <w:t xml:space="preserve"> tonnes CO</w:t>
      </w:r>
      <w:r w:rsidR="00215D56" w:rsidRPr="00A257B9">
        <w:rPr>
          <w:rFonts w:ascii="Arial" w:hAnsi="Arial" w:cs="Arial"/>
          <w:vertAlign w:val="subscript"/>
        </w:rPr>
        <w:t>2</w:t>
      </w:r>
      <w:r w:rsidR="00215D56" w:rsidRPr="00A257B9">
        <w:rPr>
          <w:rFonts w:ascii="Arial" w:hAnsi="Arial" w:cs="Arial"/>
        </w:rPr>
        <w:t>e over the 2018/19 reporting period</w:t>
      </w:r>
      <w:r w:rsidR="00373E1F" w:rsidRPr="00A257B9">
        <w:rPr>
          <w:rFonts w:ascii="Arial" w:hAnsi="Arial" w:cs="Arial"/>
        </w:rPr>
        <w:t>. The vast majority (&gt;91</w:t>
      </w:r>
      <w:r w:rsidRPr="00A257B9">
        <w:rPr>
          <w:rFonts w:ascii="Arial" w:hAnsi="Arial" w:cs="Arial"/>
        </w:rPr>
        <w:t>%) of emissions arise f</w:t>
      </w:r>
      <w:r w:rsidR="00D456EE" w:rsidRPr="00A257B9">
        <w:rPr>
          <w:rFonts w:ascii="Arial" w:hAnsi="Arial" w:cs="Arial"/>
        </w:rPr>
        <w:t>rom procured goods and services, as shown in Figure 3.</w:t>
      </w:r>
      <w:r w:rsidR="004A4D19" w:rsidRPr="00A257B9">
        <w:rPr>
          <w:rFonts w:ascii="Arial" w:hAnsi="Arial" w:cs="Arial"/>
        </w:rPr>
        <w:t xml:space="preserve"> The breakdown of scope 3 emissions activities is shown in Table 4 and Figure 4.</w:t>
      </w:r>
    </w:p>
    <w:p w:rsidR="00D456EE" w:rsidRPr="00A257B9" w:rsidRDefault="004A4D19" w:rsidP="00D456EE">
      <w:pPr>
        <w:keepNext/>
        <w:jc w:val="center"/>
        <w:rPr>
          <w:rFonts w:ascii="Arial" w:hAnsi="Arial" w:cs="Arial"/>
        </w:rPr>
      </w:pPr>
      <w:r w:rsidRPr="00A257B9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109A446F" wp14:editId="0417BD15">
            <wp:extent cx="3600000" cy="2520000"/>
            <wp:effectExtent l="0" t="0" r="635" b="0"/>
            <wp:docPr id="9" name="Chart 9" descr="6162 tonnes from supply chain emissions, 573 tonnes from non-supply chain emissions" title="High level summary of scope 3 emission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56EE" w:rsidRPr="001946F2" w:rsidRDefault="00D456EE" w:rsidP="00D456EE">
      <w:pPr>
        <w:pStyle w:val="Caption"/>
        <w:jc w:val="center"/>
        <w:rPr>
          <w:rFonts w:ascii="Arial" w:hAnsi="Arial" w:cs="Arial"/>
          <w:i w:val="0"/>
          <w:sz w:val="24"/>
        </w:rPr>
      </w:pPr>
      <w:r w:rsidRPr="001946F2">
        <w:rPr>
          <w:rFonts w:ascii="Arial" w:hAnsi="Arial" w:cs="Arial"/>
          <w:i w:val="0"/>
          <w:sz w:val="24"/>
        </w:rPr>
        <w:t xml:space="preserve">Figure </w:t>
      </w:r>
      <w:r w:rsidRPr="001946F2">
        <w:rPr>
          <w:rFonts w:ascii="Arial" w:hAnsi="Arial" w:cs="Arial"/>
          <w:i w:val="0"/>
          <w:sz w:val="24"/>
        </w:rPr>
        <w:fldChar w:fldCharType="begin"/>
      </w:r>
      <w:r w:rsidRPr="001946F2">
        <w:rPr>
          <w:rFonts w:ascii="Arial" w:hAnsi="Arial" w:cs="Arial"/>
          <w:i w:val="0"/>
          <w:sz w:val="24"/>
        </w:rPr>
        <w:instrText xml:space="preserve"> SEQ Figure \* ARABIC </w:instrText>
      </w:r>
      <w:r w:rsidRPr="001946F2">
        <w:rPr>
          <w:rFonts w:ascii="Arial" w:hAnsi="Arial" w:cs="Arial"/>
          <w:i w:val="0"/>
          <w:sz w:val="24"/>
        </w:rPr>
        <w:fldChar w:fldCharType="separate"/>
      </w:r>
      <w:r w:rsidR="00356516" w:rsidRPr="001946F2">
        <w:rPr>
          <w:rFonts w:ascii="Arial" w:hAnsi="Arial" w:cs="Arial"/>
          <w:i w:val="0"/>
          <w:noProof/>
          <w:sz w:val="24"/>
        </w:rPr>
        <w:t>3</w:t>
      </w:r>
      <w:r w:rsidRPr="001946F2">
        <w:rPr>
          <w:rFonts w:ascii="Arial" w:hAnsi="Arial" w:cs="Arial"/>
          <w:i w:val="0"/>
          <w:sz w:val="24"/>
        </w:rPr>
        <w:fldChar w:fldCharType="end"/>
      </w:r>
      <w:r w:rsidR="00F03608" w:rsidRPr="001946F2">
        <w:rPr>
          <w:rFonts w:ascii="Arial" w:hAnsi="Arial" w:cs="Arial"/>
          <w:i w:val="0"/>
          <w:sz w:val="24"/>
        </w:rPr>
        <w:t>: High-</w:t>
      </w:r>
      <w:r w:rsidRPr="001946F2">
        <w:rPr>
          <w:rFonts w:ascii="Arial" w:hAnsi="Arial" w:cs="Arial"/>
          <w:i w:val="0"/>
          <w:sz w:val="24"/>
        </w:rPr>
        <w:t>Level Summary of Scope 3 Emissions</w:t>
      </w:r>
      <w:r w:rsidR="004A4D19" w:rsidRPr="001946F2">
        <w:rPr>
          <w:rFonts w:ascii="Arial" w:hAnsi="Arial" w:cs="Arial"/>
          <w:i w:val="0"/>
          <w:sz w:val="24"/>
        </w:rPr>
        <w:t xml:space="preserve"> (</w:t>
      </w:r>
      <w:r w:rsidR="009F719F" w:rsidRPr="001946F2">
        <w:rPr>
          <w:rFonts w:ascii="Arial" w:hAnsi="Arial" w:cs="Arial"/>
          <w:i w:val="0"/>
          <w:sz w:val="24"/>
        </w:rPr>
        <w:t>u</w:t>
      </w:r>
      <w:r w:rsidR="004A4D19" w:rsidRPr="001946F2">
        <w:rPr>
          <w:rFonts w:ascii="Arial" w:hAnsi="Arial" w:cs="Arial"/>
          <w:i w:val="0"/>
          <w:sz w:val="24"/>
        </w:rPr>
        <w:t>nits: tonnes CO</w:t>
      </w:r>
      <w:r w:rsidR="004A4D19" w:rsidRPr="001946F2">
        <w:rPr>
          <w:rFonts w:ascii="Arial" w:hAnsi="Arial" w:cs="Arial"/>
          <w:i w:val="0"/>
          <w:sz w:val="24"/>
          <w:vertAlign w:val="subscript"/>
        </w:rPr>
        <w:t>2</w:t>
      </w:r>
      <w:r w:rsidR="004A4D19" w:rsidRPr="001946F2">
        <w:rPr>
          <w:rFonts w:ascii="Arial" w:hAnsi="Arial" w:cs="Arial"/>
          <w:i w:val="0"/>
          <w:sz w:val="24"/>
        </w:rPr>
        <w:t>e)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D456EE" w:rsidRPr="00A257B9" w:rsidTr="00D456EE">
        <w:trPr>
          <w:trHeight w:val="296"/>
          <w:tblHeader/>
        </w:trPr>
        <w:tc>
          <w:tcPr>
            <w:tcW w:w="907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D456EE" w:rsidP="00B456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  <w:r w:rsidRPr="001946F2">
              <w:rPr>
                <w:rFonts w:ascii="Arial" w:eastAsia="Times New Roman" w:hAnsi="Arial" w:cs="Arial"/>
                <w:bCs/>
                <w:sz w:val="24"/>
                <w:lang w:eastAsia="en-GB"/>
              </w:rPr>
              <w:t>Table 4: Summary of Scope 3 Emissions</w:t>
            </w:r>
          </w:p>
        </w:tc>
      </w:tr>
      <w:tr w:rsidR="00D456EE" w:rsidRPr="00A257B9" w:rsidTr="005E25C7">
        <w:trPr>
          <w:trHeight w:val="296"/>
          <w:tblHeader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002060"/>
            <w:noWrap/>
            <w:vAlign w:val="center"/>
            <w:hideMark/>
          </w:tcPr>
          <w:p w:rsidR="00D456EE" w:rsidRPr="00A257B9" w:rsidRDefault="00D456EE" w:rsidP="00B45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 Emissions Activity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002060"/>
            <w:vAlign w:val="center"/>
          </w:tcPr>
          <w:p w:rsidR="00D456EE" w:rsidRPr="00A257B9" w:rsidRDefault="00D456EE" w:rsidP="00B4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Emissions</w:t>
            </w:r>
          </w:p>
          <w:p w:rsidR="00D456EE" w:rsidRPr="00A257B9" w:rsidRDefault="009F719F" w:rsidP="00B4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(tonnes </w:t>
            </w:r>
            <w:r w:rsidR="00D456EE"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CO</w:t>
            </w:r>
            <w:r w:rsidR="00D456EE" w:rsidRPr="00A257B9">
              <w:rPr>
                <w:rFonts w:ascii="Arial" w:eastAsia="Times New Roman" w:hAnsi="Arial" w:cs="Arial"/>
                <w:b/>
                <w:bCs/>
                <w:color w:val="FFFFFF"/>
                <w:vertAlign w:val="subscript"/>
                <w:lang w:eastAsia="en-GB"/>
              </w:rPr>
              <w:t>2</w:t>
            </w:r>
            <w:r w:rsidR="00D456EE" w:rsidRPr="00A257B9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e)</w:t>
            </w:r>
          </w:p>
        </w:tc>
      </w:tr>
      <w:tr w:rsidR="00D456EE" w:rsidRPr="00A257B9" w:rsidTr="00B456F7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noWrap/>
            <w:vAlign w:val="bottom"/>
          </w:tcPr>
          <w:p w:rsidR="00D456EE" w:rsidRPr="00A257B9" w:rsidRDefault="00D456EE" w:rsidP="00EF0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Heating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Fuel Oil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2.1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Natural Gas (Sites Owned by TDC and Operated by TDC)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67.3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Natural Gas (Sites Owned by TDC and Leased Out)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1.9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Bioenergy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27.2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A802D4" w:rsidP="00EF0153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456EE" w:rsidRPr="00A257B9" w:rsidRDefault="00EF0153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98.4</w:t>
            </w:r>
          </w:p>
        </w:tc>
      </w:tr>
      <w:tr w:rsidR="00D456EE" w:rsidRPr="00A257B9" w:rsidTr="005E25C7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noWrap/>
            <w:vAlign w:val="center"/>
          </w:tcPr>
          <w:p w:rsidR="00D456EE" w:rsidRPr="00A257B9" w:rsidRDefault="00D456EE" w:rsidP="005E2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Passenger Transport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Pool Cars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0.2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Claimed Mileage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</w:rPr>
            </w:pPr>
            <w:r w:rsidRPr="00A257B9">
              <w:rPr>
                <w:rFonts w:ascii="Arial" w:hAnsi="Arial" w:cs="Arial"/>
              </w:rPr>
              <w:t>13.3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A802D4" w:rsidP="00EF0153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EF0153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257B9">
              <w:rPr>
                <w:rFonts w:ascii="Arial" w:hAnsi="Arial" w:cs="Arial"/>
                <w:b/>
              </w:rPr>
              <w:t>13.5</w:t>
            </w:r>
          </w:p>
        </w:tc>
      </w:tr>
      <w:tr w:rsidR="00D456EE" w:rsidRPr="00A257B9" w:rsidTr="005E25C7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noWrap/>
            <w:vAlign w:val="center"/>
          </w:tcPr>
          <w:p w:rsidR="00D456EE" w:rsidRPr="00A257B9" w:rsidRDefault="00D456EE" w:rsidP="005E2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Commercial Vehicles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Light Goods Vehicle (Van)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33.3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Heavy Goods Vehicle (&gt;3.5 - 7.5 tonnes)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4.5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Heavy Goods Vehicle (&gt;7.5 tonnes-17 tonnes)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57.6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Heavy Goods Vehicle (&gt;17 tonnes)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64.1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A802D4" w:rsidP="00EF0153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EF0153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159.5</w:t>
            </w:r>
          </w:p>
        </w:tc>
      </w:tr>
      <w:tr w:rsidR="00D456EE" w:rsidRPr="00A257B9" w:rsidTr="005E25C7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noWrap/>
            <w:vAlign w:val="center"/>
          </w:tcPr>
          <w:p w:rsidR="00D456EE" w:rsidRPr="00A257B9" w:rsidRDefault="00D456EE" w:rsidP="005E25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Grid Electricity Consumption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Grid Supplied Electricity (Top 20 Sites - Sites Owned by TDC and Operated by TDC)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50.9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Grid Supplied Electricity (Top 20 Sites - Sites Owned by TDC and Leased Out)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5.5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Grid Supplied Electricity (All other Sites) WTT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4.9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A802D4" w:rsidP="00EF0153">
            <w:pPr>
              <w:spacing w:after="0" w:line="240" w:lineRule="auto"/>
              <w:ind w:left="176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EF0153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61.3</w:t>
            </w:r>
          </w:p>
        </w:tc>
      </w:tr>
      <w:tr w:rsidR="00D456EE" w:rsidRPr="00A257B9" w:rsidTr="005E25C7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noWrap/>
            <w:vAlign w:val="center"/>
          </w:tcPr>
          <w:p w:rsidR="00D456EE" w:rsidRPr="00A257B9" w:rsidRDefault="00D456EE" w:rsidP="005E25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Accommodation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D456EE" w:rsidP="00EF0153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color w:val="000000"/>
                <w:lang w:eastAsia="en-GB"/>
              </w:rPr>
              <w:t>Hotel Stay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D456EE" w:rsidP="005E2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118.4</w:t>
            </w:r>
          </w:p>
        </w:tc>
      </w:tr>
      <w:tr w:rsidR="00373E1F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73E1F" w:rsidRPr="00A257B9" w:rsidRDefault="00373E1F" w:rsidP="00EF0153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Private Sector Housing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73E1F" w:rsidRPr="00A257B9" w:rsidRDefault="00373E1F" w:rsidP="005E2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67.0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A802D4" w:rsidP="00EF0153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EF0153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185.4</w:t>
            </w:r>
          </w:p>
        </w:tc>
      </w:tr>
      <w:tr w:rsidR="00D456EE" w:rsidRPr="00A257B9" w:rsidTr="005E25C7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noWrap/>
            <w:vAlign w:val="center"/>
          </w:tcPr>
          <w:p w:rsidR="00D456EE" w:rsidRPr="00A257B9" w:rsidRDefault="00D456EE" w:rsidP="005E25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Waste &amp; Water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Water Supply (Top 20 Sites - Sites Owned by TDC and Operated by TDC)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11.9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Water Supply (Top 20 Sites - Sites Owned by TDC and Leased Out)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2.2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Water Supply (All Other Sites)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1.3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F03608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Wastew</w:t>
            </w:r>
            <w:r w:rsidR="00A802D4" w:rsidRPr="00A257B9">
              <w:rPr>
                <w:rFonts w:ascii="Arial" w:hAnsi="Arial" w:cs="Arial"/>
                <w:color w:val="000000"/>
              </w:rPr>
              <w:t>ater (Top 20 Sites - Sites Owned by TDC and Operated by TDC)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23.2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F03608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Wastew</w:t>
            </w:r>
            <w:r w:rsidR="00A802D4" w:rsidRPr="00A257B9">
              <w:rPr>
                <w:rFonts w:ascii="Arial" w:hAnsi="Arial" w:cs="Arial"/>
                <w:color w:val="000000"/>
              </w:rPr>
              <w:t>ater (Top 20 Sites - Sites Owned by TDC and Leased Out)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4.3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F03608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Wastew</w:t>
            </w:r>
            <w:r w:rsidR="00A802D4" w:rsidRPr="00A257B9">
              <w:rPr>
                <w:rFonts w:ascii="Arial" w:hAnsi="Arial" w:cs="Arial"/>
                <w:color w:val="000000"/>
              </w:rPr>
              <w:t>ater (All Other Sites)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2.6</w:t>
            </w:r>
          </w:p>
        </w:tc>
      </w:tr>
      <w:tr w:rsidR="00A802D4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802D4" w:rsidRPr="00A257B9" w:rsidRDefault="00A802D4" w:rsidP="00EF0153">
            <w:pPr>
              <w:spacing w:after="0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Solid Waste Disposal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02D4" w:rsidRPr="00A257B9" w:rsidRDefault="00A802D4" w:rsidP="005E25C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9.2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A802D4" w:rsidP="00EF0153">
            <w:pPr>
              <w:spacing w:after="0" w:line="240" w:lineRule="auto"/>
              <w:ind w:left="176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EF0153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54.6</w:t>
            </w:r>
          </w:p>
        </w:tc>
      </w:tr>
      <w:tr w:rsidR="00D456EE" w:rsidRPr="00A257B9" w:rsidTr="005E25C7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noWrap/>
            <w:vAlign w:val="center"/>
          </w:tcPr>
          <w:p w:rsidR="00D456EE" w:rsidRPr="00A257B9" w:rsidRDefault="00D456EE" w:rsidP="005E25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257B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Supply Chain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D456EE" w:rsidP="00EF0153">
            <w:pPr>
              <w:spacing w:after="0" w:line="240" w:lineRule="auto"/>
              <w:ind w:left="176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Goods &amp; Services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D456EE" w:rsidP="005E2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257B9">
              <w:rPr>
                <w:rFonts w:ascii="Arial" w:hAnsi="Arial" w:cs="Arial"/>
                <w:color w:val="000000"/>
              </w:rPr>
              <w:t>6,162.4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56EE" w:rsidRPr="00A257B9" w:rsidRDefault="005E25C7" w:rsidP="00EF0153">
            <w:pPr>
              <w:spacing w:after="0" w:line="240" w:lineRule="auto"/>
              <w:ind w:left="17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56EE" w:rsidRPr="00A257B9" w:rsidRDefault="00D456EE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6,162.4</w:t>
            </w:r>
          </w:p>
        </w:tc>
      </w:tr>
      <w:tr w:rsidR="00D456EE" w:rsidRPr="00A257B9" w:rsidTr="005E25C7">
        <w:trPr>
          <w:trHeight w:val="296"/>
        </w:trPr>
        <w:tc>
          <w:tcPr>
            <w:tcW w:w="694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</w:tcPr>
          <w:p w:rsidR="00D456EE" w:rsidRPr="00A257B9" w:rsidRDefault="00D456EE" w:rsidP="00B456F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GRAND TOTAL</w:t>
            </w:r>
          </w:p>
        </w:tc>
        <w:tc>
          <w:tcPr>
            <w:tcW w:w="212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456EE" w:rsidRPr="00A257B9" w:rsidRDefault="00EF0153" w:rsidP="005E25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257B9">
              <w:rPr>
                <w:rFonts w:ascii="Arial" w:hAnsi="Arial" w:cs="Arial"/>
                <w:b/>
                <w:color w:val="000000"/>
              </w:rPr>
              <w:t>6,735.1</w:t>
            </w:r>
          </w:p>
        </w:tc>
      </w:tr>
    </w:tbl>
    <w:p w:rsidR="00D456EE" w:rsidRPr="00A257B9" w:rsidRDefault="00756373" w:rsidP="00D456EE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12767" w:rsidRPr="00A257B9">
        <w:rPr>
          <w:rFonts w:ascii="Arial" w:hAnsi="Arial" w:cs="Arial"/>
          <w:noProof/>
          <w:lang w:eastAsia="en-GB"/>
        </w:rPr>
        <w:drawing>
          <wp:inline distT="0" distB="0" distL="0" distR="0" wp14:anchorId="294BD970" wp14:editId="6604555D">
            <wp:extent cx="5731510" cy="3582035"/>
            <wp:effectExtent l="0" t="0" r="2540" b="0"/>
            <wp:docPr id="1" name="Chart 1" title="Scope 3 Emissions (Excluding Goods &amp; Services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56EE" w:rsidRDefault="00D456EE" w:rsidP="00D456EE">
      <w:pPr>
        <w:pStyle w:val="Caption"/>
        <w:jc w:val="center"/>
        <w:rPr>
          <w:rFonts w:ascii="Arial" w:hAnsi="Arial" w:cs="Arial"/>
          <w:i w:val="0"/>
          <w:sz w:val="24"/>
          <w:szCs w:val="24"/>
        </w:rPr>
      </w:pPr>
      <w:r w:rsidRPr="00756373">
        <w:rPr>
          <w:rFonts w:ascii="Arial" w:hAnsi="Arial" w:cs="Arial"/>
          <w:i w:val="0"/>
          <w:sz w:val="24"/>
          <w:szCs w:val="24"/>
        </w:rPr>
        <w:t xml:space="preserve">Figure </w:t>
      </w:r>
      <w:r w:rsidRPr="00756373">
        <w:rPr>
          <w:rFonts w:ascii="Arial" w:hAnsi="Arial" w:cs="Arial"/>
          <w:i w:val="0"/>
          <w:sz w:val="24"/>
          <w:szCs w:val="24"/>
        </w:rPr>
        <w:fldChar w:fldCharType="begin"/>
      </w:r>
      <w:r w:rsidRPr="00756373">
        <w:rPr>
          <w:rFonts w:ascii="Arial" w:hAnsi="Arial" w:cs="Arial"/>
          <w:i w:val="0"/>
          <w:sz w:val="24"/>
          <w:szCs w:val="24"/>
        </w:rPr>
        <w:instrText xml:space="preserve"> SEQ Figure \* ARABIC </w:instrText>
      </w:r>
      <w:r w:rsidRPr="00756373">
        <w:rPr>
          <w:rFonts w:ascii="Arial" w:hAnsi="Arial" w:cs="Arial"/>
          <w:i w:val="0"/>
          <w:sz w:val="24"/>
          <w:szCs w:val="24"/>
        </w:rPr>
        <w:fldChar w:fldCharType="separate"/>
      </w:r>
      <w:r w:rsidR="00356516">
        <w:rPr>
          <w:rFonts w:ascii="Arial" w:hAnsi="Arial" w:cs="Arial"/>
          <w:i w:val="0"/>
          <w:noProof/>
          <w:sz w:val="24"/>
          <w:szCs w:val="24"/>
        </w:rPr>
        <w:t>4</w:t>
      </w:r>
      <w:r w:rsidRPr="00756373">
        <w:rPr>
          <w:rFonts w:ascii="Arial" w:hAnsi="Arial" w:cs="Arial"/>
          <w:i w:val="0"/>
          <w:sz w:val="24"/>
          <w:szCs w:val="24"/>
        </w:rPr>
        <w:fldChar w:fldCharType="end"/>
      </w:r>
      <w:r w:rsidRPr="00756373">
        <w:rPr>
          <w:rFonts w:ascii="Arial" w:hAnsi="Arial" w:cs="Arial"/>
          <w:i w:val="0"/>
          <w:sz w:val="24"/>
          <w:szCs w:val="24"/>
        </w:rPr>
        <w:t>: Scope 3 Emissions (Excluding Goods &amp; Services)</w:t>
      </w:r>
    </w:p>
    <w:p w:rsidR="001946F2" w:rsidRPr="001946F2" w:rsidRDefault="001946F2" w:rsidP="001946F2"/>
    <w:p w:rsidR="00D456EE" w:rsidRPr="00A257B9" w:rsidRDefault="00D456EE" w:rsidP="00D456EE">
      <w:pPr>
        <w:pStyle w:val="Heading3"/>
      </w:pPr>
      <w:r w:rsidRPr="00A257B9">
        <w:lastRenderedPageBreak/>
        <w:t>Well to Tank Emissions</w:t>
      </w:r>
    </w:p>
    <w:p w:rsidR="00395E5A" w:rsidRPr="00A257B9" w:rsidRDefault="00215D56" w:rsidP="00395E5A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Well to Tank (WTT)</w:t>
      </w:r>
      <w:r w:rsidR="00395E5A" w:rsidRPr="00A257B9">
        <w:rPr>
          <w:rFonts w:ascii="Arial" w:hAnsi="Arial" w:cs="Arial"/>
        </w:rPr>
        <w:t xml:space="preserve"> </w:t>
      </w:r>
      <w:r w:rsidRPr="00A257B9">
        <w:rPr>
          <w:rFonts w:ascii="Arial" w:hAnsi="Arial" w:cs="Arial"/>
        </w:rPr>
        <w:t xml:space="preserve">emissions </w:t>
      </w:r>
      <w:r w:rsidR="00CD2458" w:rsidRPr="00A257B9">
        <w:rPr>
          <w:rFonts w:ascii="Arial" w:hAnsi="Arial" w:cs="Arial"/>
        </w:rPr>
        <w:t>account for 333</w:t>
      </w:r>
      <w:r w:rsidR="001C3207" w:rsidRPr="00A257B9">
        <w:rPr>
          <w:rFonts w:ascii="Arial" w:hAnsi="Arial" w:cs="Arial"/>
        </w:rPr>
        <w:t xml:space="preserve"> tonnes of CO</w:t>
      </w:r>
      <w:r w:rsidR="001C3207" w:rsidRPr="00A257B9">
        <w:rPr>
          <w:rFonts w:ascii="Arial" w:hAnsi="Arial" w:cs="Arial"/>
          <w:vertAlign w:val="subscript"/>
        </w:rPr>
        <w:t>2</w:t>
      </w:r>
      <w:r w:rsidR="001C3207" w:rsidRPr="00A257B9">
        <w:rPr>
          <w:rFonts w:ascii="Arial" w:hAnsi="Arial" w:cs="Arial"/>
        </w:rPr>
        <w:t>e and arise from the production, transmission and distribution of fuel oil, natural gas, bioenergy, electricity and transport fuel.</w:t>
      </w:r>
    </w:p>
    <w:p w:rsidR="00D456EE" w:rsidRPr="00A257B9" w:rsidRDefault="00D456EE" w:rsidP="00D456EE">
      <w:pPr>
        <w:pStyle w:val="Heading3"/>
      </w:pPr>
      <w:r w:rsidRPr="00A257B9">
        <w:t>Water and Waste</w:t>
      </w:r>
    </w:p>
    <w:p w:rsidR="001C3207" w:rsidRPr="00A257B9" w:rsidRDefault="00044D56" w:rsidP="00395E5A">
      <w:pPr>
        <w:jc w:val="both"/>
        <w:rPr>
          <w:rFonts w:ascii="Arial" w:hAnsi="Arial" w:cs="Arial"/>
          <w:i/>
          <w:color w:val="000000"/>
        </w:rPr>
      </w:pPr>
      <w:r w:rsidRPr="00A257B9">
        <w:rPr>
          <w:rFonts w:ascii="Arial" w:hAnsi="Arial" w:cs="Arial"/>
        </w:rPr>
        <w:t>Emissions associa</w:t>
      </w:r>
      <w:r w:rsidR="00F03608" w:rsidRPr="00A257B9">
        <w:rPr>
          <w:rFonts w:ascii="Arial" w:hAnsi="Arial" w:cs="Arial"/>
        </w:rPr>
        <w:t>ted with water supply and waste</w:t>
      </w:r>
      <w:r w:rsidRPr="00A257B9">
        <w:rPr>
          <w:rFonts w:ascii="Arial" w:hAnsi="Arial" w:cs="Arial"/>
        </w:rPr>
        <w:t xml:space="preserve">water </w:t>
      </w:r>
      <w:r w:rsidR="00842F39" w:rsidRPr="00A257B9">
        <w:rPr>
          <w:rFonts w:ascii="Arial" w:hAnsi="Arial" w:cs="Arial"/>
        </w:rPr>
        <w:t>account for 45 tonnes of CO</w:t>
      </w:r>
      <w:r w:rsidR="00842F39" w:rsidRPr="00A257B9">
        <w:rPr>
          <w:rFonts w:ascii="Arial" w:hAnsi="Arial" w:cs="Arial"/>
          <w:vertAlign w:val="subscript"/>
        </w:rPr>
        <w:t>2</w:t>
      </w:r>
      <w:r w:rsidR="00842F39" w:rsidRPr="00A257B9">
        <w:rPr>
          <w:rFonts w:ascii="Arial" w:hAnsi="Arial" w:cs="Arial"/>
        </w:rPr>
        <w:t xml:space="preserve">e and </w:t>
      </w:r>
      <w:r w:rsidRPr="00A257B9">
        <w:rPr>
          <w:rFonts w:ascii="Arial" w:hAnsi="Arial" w:cs="Arial"/>
        </w:rPr>
        <w:t xml:space="preserve">have </w:t>
      </w:r>
      <w:r w:rsidR="00842F39" w:rsidRPr="00A257B9">
        <w:rPr>
          <w:rFonts w:ascii="Arial" w:hAnsi="Arial" w:cs="Arial"/>
        </w:rPr>
        <w:t xml:space="preserve">each </w:t>
      </w:r>
      <w:r w:rsidRPr="00A257B9">
        <w:rPr>
          <w:rFonts w:ascii="Arial" w:hAnsi="Arial" w:cs="Arial"/>
        </w:rPr>
        <w:t xml:space="preserve">been split into three categories to highlight the areas TDC has the greatest influence over; this includes </w:t>
      </w:r>
      <w:r w:rsidRPr="00A257B9">
        <w:rPr>
          <w:rFonts w:ascii="Arial" w:hAnsi="Arial" w:cs="Arial"/>
          <w:i/>
        </w:rPr>
        <w:t>“</w:t>
      </w:r>
      <w:r w:rsidRPr="00A257B9">
        <w:rPr>
          <w:rFonts w:ascii="Arial" w:hAnsi="Arial" w:cs="Arial"/>
          <w:i/>
          <w:color w:val="000000"/>
        </w:rPr>
        <w:t>Top 20 Sites - Sites Owned by TDC and Operated by TDC,”</w:t>
      </w:r>
      <w:r w:rsidRPr="00A257B9">
        <w:rPr>
          <w:rFonts w:ascii="Arial" w:hAnsi="Arial" w:cs="Arial"/>
          <w:color w:val="000000"/>
        </w:rPr>
        <w:t xml:space="preserve"> </w:t>
      </w:r>
      <w:r w:rsidRPr="00A257B9">
        <w:rPr>
          <w:rFonts w:ascii="Arial" w:hAnsi="Arial" w:cs="Arial"/>
          <w:i/>
          <w:color w:val="000000"/>
        </w:rPr>
        <w:t>“Top 20 Sites - Sites Owned by TDC and Leased Out</w:t>
      </w:r>
      <w:r w:rsidR="009F719F" w:rsidRPr="00A257B9">
        <w:rPr>
          <w:rFonts w:ascii="Arial" w:hAnsi="Arial" w:cs="Arial"/>
          <w:i/>
          <w:color w:val="000000"/>
        </w:rPr>
        <w:t>,</w:t>
      </w:r>
      <w:r w:rsidRPr="00A257B9">
        <w:rPr>
          <w:rFonts w:ascii="Arial" w:hAnsi="Arial" w:cs="Arial"/>
          <w:i/>
          <w:color w:val="000000"/>
        </w:rPr>
        <w:t xml:space="preserve">” </w:t>
      </w:r>
      <w:r w:rsidRPr="00A257B9">
        <w:rPr>
          <w:rFonts w:ascii="Arial" w:hAnsi="Arial" w:cs="Arial"/>
          <w:color w:val="000000"/>
        </w:rPr>
        <w:t xml:space="preserve">and </w:t>
      </w:r>
      <w:r w:rsidRPr="00A257B9">
        <w:rPr>
          <w:rFonts w:ascii="Arial" w:hAnsi="Arial" w:cs="Arial"/>
          <w:i/>
          <w:color w:val="000000"/>
        </w:rPr>
        <w:t>“All other Sites.”</w:t>
      </w:r>
    </w:p>
    <w:p w:rsidR="00D456EE" w:rsidRPr="00A257B9" w:rsidRDefault="00D456EE" w:rsidP="00395E5A">
      <w:p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 xml:space="preserve">Emissions from solid waste </w:t>
      </w:r>
      <w:r w:rsidR="00842F39" w:rsidRPr="00A257B9">
        <w:rPr>
          <w:rFonts w:ascii="Arial" w:hAnsi="Arial" w:cs="Arial"/>
          <w:color w:val="000000"/>
        </w:rPr>
        <w:t>disposal account for 9 tonnes CO</w:t>
      </w:r>
      <w:r w:rsidR="00842F39" w:rsidRPr="00A257B9">
        <w:rPr>
          <w:rFonts w:ascii="Arial" w:hAnsi="Arial" w:cs="Arial"/>
          <w:color w:val="000000"/>
          <w:vertAlign w:val="subscript"/>
        </w:rPr>
        <w:t>2</w:t>
      </w:r>
      <w:r w:rsidR="00842F39" w:rsidRPr="00A257B9">
        <w:rPr>
          <w:rFonts w:ascii="Arial" w:hAnsi="Arial" w:cs="Arial"/>
          <w:color w:val="000000"/>
        </w:rPr>
        <w:t>e</w:t>
      </w:r>
      <w:r w:rsidRPr="00A257B9">
        <w:rPr>
          <w:rFonts w:ascii="Arial" w:hAnsi="Arial" w:cs="Arial"/>
          <w:color w:val="000000"/>
        </w:rPr>
        <w:t xml:space="preserve"> </w:t>
      </w:r>
      <w:r w:rsidR="00842F39" w:rsidRPr="00A257B9">
        <w:rPr>
          <w:rFonts w:ascii="Arial" w:hAnsi="Arial" w:cs="Arial"/>
          <w:color w:val="000000"/>
        </w:rPr>
        <w:t xml:space="preserve">and </w:t>
      </w:r>
      <w:r w:rsidRPr="00A257B9">
        <w:rPr>
          <w:rFonts w:ascii="Arial" w:hAnsi="Arial" w:cs="Arial"/>
          <w:color w:val="000000"/>
        </w:rPr>
        <w:t>are based on accurate waste disposal data provided from TDC’s major sites including Broadmeadow Leisure Centre, Dawlish Leisure Centre, Newton Abbot Leisure Centre, The Depot, Forde House and Teignmouth Lido.</w:t>
      </w:r>
    </w:p>
    <w:p w:rsidR="00D456EE" w:rsidRPr="00A257B9" w:rsidRDefault="00D456EE" w:rsidP="00D456EE">
      <w:pPr>
        <w:pStyle w:val="Heading3"/>
      </w:pPr>
      <w:r w:rsidRPr="00A257B9">
        <w:t>Accommodation</w:t>
      </w:r>
    </w:p>
    <w:p w:rsidR="006A613C" w:rsidRPr="00A257B9" w:rsidRDefault="00842F39" w:rsidP="00395E5A">
      <w:p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Provision of accommodation through the private sector accounts for 185 tonnes CO</w:t>
      </w:r>
      <w:r w:rsidRPr="00A257B9">
        <w:rPr>
          <w:rFonts w:ascii="Arial" w:hAnsi="Arial" w:cs="Arial"/>
          <w:color w:val="000000"/>
          <w:vertAlign w:val="subscript"/>
        </w:rPr>
        <w:t>2</w:t>
      </w:r>
      <w:r w:rsidR="007F6EC8" w:rsidRPr="00A257B9">
        <w:rPr>
          <w:rFonts w:ascii="Arial" w:hAnsi="Arial" w:cs="Arial"/>
          <w:color w:val="000000"/>
        </w:rPr>
        <w:t>e.</w:t>
      </w:r>
      <w:r w:rsidR="00F03608" w:rsidRPr="00A257B9">
        <w:rPr>
          <w:rFonts w:ascii="Arial" w:hAnsi="Arial" w:cs="Arial"/>
          <w:color w:val="000000"/>
        </w:rPr>
        <w:t xml:space="preserve"> </w:t>
      </w:r>
      <w:r w:rsidR="00BD72BA" w:rsidRPr="00A257B9">
        <w:rPr>
          <w:rFonts w:ascii="Arial" w:hAnsi="Arial" w:cs="Arial"/>
          <w:color w:val="000000"/>
        </w:rPr>
        <w:t xml:space="preserve">Emissions </w:t>
      </w:r>
      <w:r w:rsidRPr="00A257B9">
        <w:rPr>
          <w:rFonts w:ascii="Arial" w:hAnsi="Arial" w:cs="Arial"/>
          <w:color w:val="000000"/>
        </w:rPr>
        <w:t>covered under “Hotel Stay</w:t>
      </w:r>
      <w:r w:rsidR="006A613C" w:rsidRPr="00A257B9">
        <w:rPr>
          <w:rFonts w:ascii="Arial" w:hAnsi="Arial" w:cs="Arial"/>
          <w:color w:val="000000"/>
        </w:rPr>
        <w:t>,”</w:t>
      </w:r>
      <w:r w:rsidR="00BD72BA" w:rsidRPr="00A257B9">
        <w:rPr>
          <w:rFonts w:ascii="Arial" w:hAnsi="Arial" w:cs="Arial"/>
          <w:color w:val="000000"/>
        </w:rPr>
        <w:t xml:space="preserve"> relate to short term accommodation involving </w:t>
      </w:r>
      <w:r w:rsidRPr="00A257B9">
        <w:rPr>
          <w:rFonts w:ascii="Arial" w:hAnsi="Arial" w:cs="Arial"/>
          <w:color w:val="000000"/>
        </w:rPr>
        <w:t>hotels and B&amp;Bs</w:t>
      </w:r>
      <w:r w:rsidR="00BD72BA" w:rsidRPr="00A257B9">
        <w:rPr>
          <w:rFonts w:ascii="Arial" w:hAnsi="Arial" w:cs="Arial"/>
          <w:color w:val="000000"/>
        </w:rPr>
        <w:t xml:space="preserve">. Short term accommodation provided within </w:t>
      </w:r>
      <w:r w:rsidR="006A613C" w:rsidRPr="00A257B9">
        <w:rPr>
          <w:rFonts w:ascii="Arial" w:hAnsi="Arial" w:cs="Arial"/>
          <w:color w:val="000000"/>
        </w:rPr>
        <w:t>sites</w:t>
      </w:r>
      <w:r w:rsidR="00BD72BA" w:rsidRPr="00A257B9">
        <w:rPr>
          <w:rFonts w:ascii="Arial" w:hAnsi="Arial" w:cs="Arial"/>
          <w:color w:val="000000"/>
        </w:rPr>
        <w:t xml:space="preserve"> owned</w:t>
      </w:r>
      <w:r w:rsidR="00F03608" w:rsidRPr="00A257B9">
        <w:rPr>
          <w:rFonts w:ascii="Arial" w:hAnsi="Arial" w:cs="Arial"/>
          <w:color w:val="000000"/>
        </w:rPr>
        <w:t xml:space="preserve"> by TDC such as Albany House is</w:t>
      </w:r>
      <w:r w:rsidR="00BD72BA" w:rsidRPr="00A257B9">
        <w:rPr>
          <w:rFonts w:ascii="Arial" w:hAnsi="Arial" w:cs="Arial"/>
          <w:color w:val="000000"/>
        </w:rPr>
        <w:t xml:space="preserve"> accounted for within Scope 1 emissions for gas, Scope 2 emissions for ele</w:t>
      </w:r>
      <w:r w:rsidR="006A613C" w:rsidRPr="00A257B9">
        <w:rPr>
          <w:rFonts w:ascii="Arial" w:hAnsi="Arial" w:cs="Arial"/>
          <w:color w:val="000000"/>
        </w:rPr>
        <w:t>ctricity and Scope 3 for water.</w:t>
      </w:r>
    </w:p>
    <w:p w:rsidR="00260C13" w:rsidRDefault="00842F39" w:rsidP="00395E5A">
      <w:p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 xml:space="preserve">Emissions </w:t>
      </w:r>
      <w:r w:rsidR="00112767" w:rsidRPr="00A257B9">
        <w:rPr>
          <w:rFonts w:ascii="Arial" w:hAnsi="Arial" w:cs="Arial"/>
          <w:color w:val="000000"/>
        </w:rPr>
        <w:t xml:space="preserve">covered under </w:t>
      </w:r>
      <w:r w:rsidRPr="00A257B9">
        <w:rPr>
          <w:rFonts w:ascii="Arial" w:hAnsi="Arial" w:cs="Arial"/>
          <w:color w:val="000000"/>
        </w:rPr>
        <w:t xml:space="preserve">Private Sector Housing relate to social housing provided by private landlords. </w:t>
      </w:r>
      <w:r w:rsidR="007F6EC8" w:rsidRPr="00A257B9">
        <w:rPr>
          <w:rFonts w:ascii="Arial" w:hAnsi="Arial" w:cs="Arial"/>
          <w:color w:val="000000"/>
        </w:rPr>
        <w:t>These emissions include natural gas heating and electricity consumption.</w:t>
      </w:r>
    </w:p>
    <w:p w:rsidR="00D456EE" w:rsidRPr="00A257B9" w:rsidRDefault="00D456EE" w:rsidP="00D456EE">
      <w:pPr>
        <w:pStyle w:val="Heading3"/>
      </w:pPr>
      <w:r w:rsidRPr="00A257B9">
        <w:t>Goods and Services</w:t>
      </w:r>
    </w:p>
    <w:p w:rsidR="007F6EC8" w:rsidRPr="00A257B9" w:rsidRDefault="00234C95" w:rsidP="00395E5A">
      <w:p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 xml:space="preserve">Emissions arising from the procurement of goods and services </w:t>
      </w:r>
      <w:r w:rsidR="007F6EC8" w:rsidRPr="00A257B9">
        <w:rPr>
          <w:rFonts w:ascii="Arial" w:hAnsi="Arial" w:cs="Arial"/>
          <w:color w:val="000000"/>
        </w:rPr>
        <w:t>account for 6,162 tonnes CO</w:t>
      </w:r>
      <w:r w:rsidR="007F6EC8" w:rsidRPr="00A257B9">
        <w:rPr>
          <w:rFonts w:ascii="Arial" w:hAnsi="Arial" w:cs="Arial"/>
          <w:color w:val="000000"/>
          <w:vertAlign w:val="subscript"/>
        </w:rPr>
        <w:t>2</w:t>
      </w:r>
      <w:r w:rsidR="007F6EC8" w:rsidRPr="00A257B9">
        <w:rPr>
          <w:rFonts w:ascii="Arial" w:hAnsi="Arial" w:cs="Arial"/>
          <w:color w:val="000000"/>
        </w:rPr>
        <w:t xml:space="preserve">e and </w:t>
      </w:r>
      <w:r w:rsidRPr="00A257B9">
        <w:rPr>
          <w:rFonts w:ascii="Arial" w:hAnsi="Arial" w:cs="Arial"/>
          <w:color w:val="000000"/>
        </w:rPr>
        <w:t xml:space="preserve">have been based on </w:t>
      </w:r>
      <w:r w:rsidR="00E23469" w:rsidRPr="00A257B9">
        <w:rPr>
          <w:rFonts w:ascii="Arial" w:hAnsi="Arial" w:cs="Arial"/>
          <w:color w:val="000000"/>
        </w:rPr>
        <w:t>TDC’s total expenditure of £21.</w:t>
      </w:r>
      <w:r w:rsidR="009856C2" w:rsidRPr="00A257B9">
        <w:rPr>
          <w:rFonts w:ascii="Arial" w:hAnsi="Arial" w:cs="Arial"/>
          <w:color w:val="000000"/>
        </w:rPr>
        <w:t>5 million ove</w:t>
      </w:r>
      <w:r w:rsidR="007F6EC8" w:rsidRPr="00A257B9">
        <w:rPr>
          <w:rFonts w:ascii="Arial" w:hAnsi="Arial" w:cs="Arial"/>
          <w:color w:val="000000"/>
        </w:rPr>
        <w:t>r the 2018/19 financial period.</w:t>
      </w:r>
    </w:p>
    <w:p w:rsidR="007F6EC8" w:rsidRPr="00A257B9" w:rsidRDefault="009856C2" w:rsidP="00395E5A">
      <w:p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Emissions have been calculated by assigning emissions factors, as provided in Appendix E of the “</w:t>
      </w:r>
      <w:r w:rsidRPr="00A257B9">
        <w:rPr>
          <w:rFonts w:ascii="Arial" w:hAnsi="Arial" w:cs="Arial"/>
          <w:i/>
        </w:rPr>
        <w:t>Environmental Reporting Guidelines: Including streamlined energy and carbon reporting guidance (2019)”</w:t>
      </w:r>
      <w:r w:rsidRPr="00A257B9">
        <w:rPr>
          <w:rFonts w:ascii="Arial" w:hAnsi="Arial" w:cs="Arial"/>
          <w:i/>
          <w:color w:val="000000"/>
        </w:rPr>
        <w:t>.</w:t>
      </w:r>
      <w:r w:rsidR="007F6EC8" w:rsidRPr="00A257B9">
        <w:rPr>
          <w:rFonts w:ascii="Arial" w:hAnsi="Arial" w:cs="Arial"/>
          <w:i/>
          <w:color w:val="000000"/>
        </w:rPr>
        <w:t xml:space="preserve"> </w:t>
      </w:r>
      <w:r w:rsidR="007F6EC8" w:rsidRPr="00A257B9">
        <w:rPr>
          <w:rFonts w:ascii="Arial" w:hAnsi="Arial" w:cs="Arial"/>
          <w:color w:val="000000"/>
        </w:rPr>
        <w:t>The top five goods and services activities in terms of emissions include:</w:t>
      </w:r>
    </w:p>
    <w:p w:rsidR="007F6EC8" w:rsidRPr="00A257B9" w:rsidRDefault="007F6EC8" w:rsidP="007F6E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Contractor Services (construction of buildings)</w:t>
      </w:r>
    </w:p>
    <w:p w:rsidR="007F6EC8" w:rsidRPr="00A257B9" w:rsidRDefault="007F6EC8" w:rsidP="007F6E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STRATA contract (provision of IT services and equipment)</w:t>
      </w:r>
    </w:p>
    <w:p w:rsidR="007F6EC8" w:rsidRPr="00A257B9" w:rsidRDefault="007F6EC8" w:rsidP="007F6E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Contributions (payments to local authorities)</w:t>
      </w:r>
    </w:p>
    <w:p w:rsidR="007F6EC8" w:rsidRPr="00A257B9" w:rsidRDefault="007F6EC8" w:rsidP="007F6E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Leasing and rental of vehicles</w:t>
      </w:r>
    </w:p>
    <w:p w:rsidR="007F6EC8" w:rsidRPr="00A257B9" w:rsidRDefault="007F6EC8" w:rsidP="007F6E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Disabled facilities (installation of disabled facilities)</w:t>
      </w:r>
    </w:p>
    <w:p w:rsidR="00234C95" w:rsidRDefault="009856C2" w:rsidP="00395E5A">
      <w:pPr>
        <w:jc w:val="both"/>
        <w:rPr>
          <w:rFonts w:ascii="Arial" w:hAnsi="Arial" w:cs="Arial"/>
          <w:color w:val="000000"/>
        </w:rPr>
      </w:pPr>
      <w:r w:rsidRPr="00A257B9">
        <w:rPr>
          <w:rFonts w:ascii="Arial" w:hAnsi="Arial" w:cs="Arial"/>
          <w:color w:val="000000"/>
        </w:rPr>
        <w:t>I</w:t>
      </w:r>
      <w:r w:rsidR="007F6EC8" w:rsidRPr="00A257B9">
        <w:rPr>
          <w:rFonts w:ascii="Arial" w:hAnsi="Arial" w:cs="Arial"/>
          <w:color w:val="000000"/>
        </w:rPr>
        <w:t xml:space="preserve">t should be noted that </w:t>
      </w:r>
      <w:r w:rsidR="00112767" w:rsidRPr="00A257B9">
        <w:rPr>
          <w:rFonts w:ascii="Arial" w:hAnsi="Arial" w:cs="Arial"/>
          <w:color w:val="000000"/>
        </w:rPr>
        <w:t xml:space="preserve">the </w:t>
      </w:r>
      <w:r w:rsidR="007F6EC8" w:rsidRPr="00A257B9">
        <w:rPr>
          <w:rFonts w:ascii="Arial" w:hAnsi="Arial" w:cs="Arial"/>
          <w:color w:val="000000"/>
        </w:rPr>
        <w:t xml:space="preserve">provided </w:t>
      </w:r>
      <w:r w:rsidRPr="00A257B9">
        <w:rPr>
          <w:rFonts w:ascii="Arial" w:hAnsi="Arial" w:cs="Arial"/>
          <w:color w:val="000000"/>
        </w:rPr>
        <w:t>emissions factors are out-of-date and can account for a broad range of emissions activities. Despite best efforts to match expenditure categories with emissions factors, there is considerable uncertainty in the provided supply chain emissions f</w:t>
      </w:r>
      <w:r w:rsidR="00112767" w:rsidRPr="00A257B9">
        <w:rPr>
          <w:rFonts w:ascii="Arial" w:hAnsi="Arial" w:cs="Arial"/>
          <w:color w:val="000000"/>
        </w:rPr>
        <w:t>actors</w:t>
      </w:r>
      <w:r w:rsidRPr="00A257B9">
        <w:rPr>
          <w:rFonts w:ascii="Arial" w:hAnsi="Arial" w:cs="Arial"/>
          <w:color w:val="000000"/>
        </w:rPr>
        <w:t>. As such, as new methodologies become available, supply chain emissions may be subject to considerable change in future years.</w:t>
      </w:r>
    </w:p>
    <w:p w:rsidR="001946F2" w:rsidRDefault="001946F2" w:rsidP="00395E5A">
      <w:pPr>
        <w:jc w:val="both"/>
        <w:rPr>
          <w:rFonts w:ascii="Arial" w:hAnsi="Arial" w:cs="Arial"/>
          <w:color w:val="000000"/>
        </w:rPr>
      </w:pPr>
    </w:p>
    <w:p w:rsidR="001946F2" w:rsidRPr="00A257B9" w:rsidRDefault="001946F2" w:rsidP="00395E5A">
      <w:pPr>
        <w:jc w:val="both"/>
        <w:rPr>
          <w:rFonts w:ascii="Arial" w:hAnsi="Arial" w:cs="Arial"/>
          <w:color w:val="000000"/>
        </w:rPr>
      </w:pPr>
    </w:p>
    <w:p w:rsidR="00634D9F" w:rsidRPr="00A257B9" w:rsidRDefault="00634D9F" w:rsidP="00634D9F">
      <w:pPr>
        <w:pStyle w:val="Heading2"/>
      </w:pPr>
      <w:r w:rsidRPr="00A257B9">
        <w:lastRenderedPageBreak/>
        <w:t>Overview of Scope 1, 2 &amp; 3 Emissions</w:t>
      </w:r>
    </w:p>
    <w:p w:rsidR="00483483" w:rsidRPr="00A257B9" w:rsidRDefault="00483483" w:rsidP="00C223C8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 xml:space="preserve">Scope 1 </w:t>
      </w:r>
      <w:r w:rsidR="000772D4" w:rsidRPr="00A257B9">
        <w:rPr>
          <w:rFonts w:ascii="Arial" w:hAnsi="Arial" w:cs="Arial"/>
        </w:rPr>
        <w:t>represents</w:t>
      </w:r>
      <w:r w:rsidRPr="00A257B9">
        <w:rPr>
          <w:rFonts w:ascii="Arial" w:hAnsi="Arial" w:cs="Arial"/>
        </w:rPr>
        <w:t xml:space="preserve"> the second largest source of emissions and account</w:t>
      </w:r>
      <w:r w:rsidR="000772D4" w:rsidRPr="00A257B9">
        <w:rPr>
          <w:rFonts w:ascii="Arial" w:hAnsi="Arial" w:cs="Arial"/>
        </w:rPr>
        <w:t>s</w:t>
      </w:r>
      <w:r w:rsidRPr="00A257B9">
        <w:rPr>
          <w:rFonts w:ascii="Arial" w:hAnsi="Arial" w:cs="Arial"/>
        </w:rPr>
        <w:t xml:space="preserve"> for 15% of all emissions, of which the majority of emissions are associated with the combustion of fuel in commercial vehicles.</w:t>
      </w:r>
    </w:p>
    <w:p w:rsidR="00483483" w:rsidRPr="00A257B9" w:rsidRDefault="00483483" w:rsidP="00C223C8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 xml:space="preserve">Scope 2 </w:t>
      </w:r>
      <w:r w:rsidR="000772D4" w:rsidRPr="00A257B9">
        <w:rPr>
          <w:rFonts w:ascii="Arial" w:hAnsi="Arial" w:cs="Arial"/>
        </w:rPr>
        <w:t>represents</w:t>
      </w:r>
      <w:r w:rsidRPr="00A257B9">
        <w:rPr>
          <w:rFonts w:ascii="Arial" w:hAnsi="Arial" w:cs="Arial"/>
        </w:rPr>
        <w:t xml:space="preserve"> the smallest source of emissions and account</w:t>
      </w:r>
      <w:r w:rsidR="000772D4" w:rsidRPr="00A257B9">
        <w:rPr>
          <w:rFonts w:ascii="Arial" w:hAnsi="Arial" w:cs="Arial"/>
        </w:rPr>
        <w:t>s</w:t>
      </w:r>
      <w:r w:rsidRPr="00A257B9">
        <w:rPr>
          <w:rFonts w:ascii="Arial" w:hAnsi="Arial" w:cs="Arial"/>
        </w:rPr>
        <w:t xml:space="preserve"> for 8% of all emissions</w:t>
      </w:r>
      <w:r w:rsidR="00112767" w:rsidRPr="00A257B9">
        <w:rPr>
          <w:rFonts w:ascii="Arial" w:hAnsi="Arial" w:cs="Arial"/>
        </w:rPr>
        <w:t>, of which all emissions relate</w:t>
      </w:r>
      <w:r w:rsidRPr="00A257B9">
        <w:rPr>
          <w:rFonts w:ascii="Arial" w:hAnsi="Arial" w:cs="Arial"/>
        </w:rPr>
        <w:t xml:space="preserve"> to electricity consumption.</w:t>
      </w:r>
    </w:p>
    <w:p w:rsidR="00C223C8" w:rsidRPr="00A257B9" w:rsidRDefault="00483483" w:rsidP="00C223C8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 xml:space="preserve">Scope 3 </w:t>
      </w:r>
      <w:r w:rsidR="000772D4" w:rsidRPr="00A257B9">
        <w:rPr>
          <w:rFonts w:ascii="Arial" w:hAnsi="Arial" w:cs="Arial"/>
        </w:rPr>
        <w:t>represents</w:t>
      </w:r>
      <w:r w:rsidRPr="00A257B9">
        <w:rPr>
          <w:rFonts w:ascii="Arial" w:hAnsi="Arial" w:cs="Arial"/>
        </w:rPr>
        <w:t xml:space="preserve"> the largest source of emissions and account for </w:t>
      </w:r>
      <w:r w:rsidR="00C223C8" w:rsidRPr="00A257B9">
        <w:rPr>
          <w:rFonts w:ascii="Arial" w:hAnsi="Arial" w:cs="Arial"/>
        </w:rPr>
        <w:t xml:space="preserve">77% of all emissions, of which the vast majority </w:t>
      </w:r>
      <w:r w:rsidRPr="00A257B9">
        <w:rPr>
          <w:rFonts w:ascii="Arial" w:hAnsi="Arial" w:cs="Arial"/>
        </w:rPr>
        <w:t xml:space="preserve">of emissions </w:t>
      </w:r>
      <w:r w:rsidR="00C223C8" w:rsidRPr="00A257B9">
        <w:rPr>
          <w:rFonts w:ascii="Arial" w:hAnsi="Arial" w:cs="Arial"/>
        </w:rPr>
        <w:t>are as</w:t>
      </w:r>
      <w:r w:rsidR="00260C13" w:rsidRPr="00A257B9">
        <w:rPr>
          <w:rFonts w:ascii="Arial" w:hAnsi="Arial" w:cs="Arial"/>
        </w:rPr>
        <w:t>sociated with goods &amp; services.</w:t>
      </w:r>
    </w:p>
    <w:p w:rsidR="00C223C8" w:rsidRPr="00A257B9" w:rsidRDefault="00F03608" w:rsidP="00C223C8">
      <w:pPr>
        <w:keepNext/>
        <w:jc w:val="center"/>
        <w:rPr>
          <w:rFonts w:ascii="Arial" w:hAnsi="Arial" w:cs="Arial"/>
        </w:rPr>
      </w:pPr>
      <w:r w:rsidRPr="00A257B9">
        <w:rPr>
          <w:rFonts w:ascii="Arial" w:hAnsi="Arial" w:cs="Arial"/>
          <w:noProof/>
          <w:lang w:eastAsia="en-GB"/>
        </w:rPr>
        <w:drawing>
          <wp:inline distT="0" distB="0" distL="0" distR="0" wp14:anchorId="7FE739B8" wp14:editId="4240ABA9">
            <wp:extent cx="3600000" cy="2520000"/>
            <wp:effectExtent l="0" t="0" r="635" b="0"/>
            <wp:docPr id="12" name="Chart 12" title="High-level Summary of Scope 1, 2 &amp; 3 Emissions (tonnes CO2e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46F2" w:rsidRDefault="00C223C8" w:rsidP="001946F2">
      <w:pPr>
        <w:pStyle w:val="Caption"/>
        <w:jc w:val="center"/>
        <w:rPr>
          <w:rFonts w:ascii="Arial" w:hAnsi="Arial" w:cs="Arial"/>
          <w:i w:val="0"/>
          <w:sz w:val="24"/>
        </w:rPr>
      </w:pPr>
      <w:r w:rsidRPr="001946F2">
        <w:rPr>
          <w:rFonts w:ascii="Arial" w:hAnsi="Arial" w:cs="Arial"/>
          <w:i w:val="0"/>
          <w:sz w:val="24"/>
        </w:rPr>
        <w:t xml:space="preserve">Figure </w:t>
      </w:r>
      <w:r w:rsidR="00FF0EC5" w:rsidRPr="001946F2">
        <w:rPr>
          <w:rFonts w:ascii="Arial" w:hAnsi="Arial" w:cs="Arial"/>
          <w:i w:val="0"/>
          <w:noProof/>
          <w:sz w:val="24"/>
        </w:rPr>
        <w:fldChar w:fldCharType="begin"/>
      </w:r>
      <w:r w:rsidR="00FF0EC5" w:rsidRPr="001946F2">
        <w:rPr>
          <w:rFonts w:ascii="Arial" w:hAnsi="Arial" w:cs="Arial"/>
          <w:i w:val="0"/>
          <w:noProof/>
          <w:sz w:val="24"/>
        </w:rPr>
        <w:instrText xml:space="preserve"> SEQ Figure \* ARABIC </w:instrText>
      </w:r>
      <w:r w:rsidR="00FF0EC5" w:rsidRPr="001946F2">
        <w:rPr>
          <w:rFonts w:ascii="Arial" w:hAnsi="Arial" w:cs="Arial"/>
          <w:i w:val="0"/>
          <w:noProof/>
          <w:sz w:val="24"/>
        </w:rPr>
        <w:fldChar w:fldCharType="separate"/>
      </w:r>
      <w:r w:rsidR="00356516" w:rsidRPr="001946F2">
        <w:rPr>
          <w:rFonts w:ascii="Arial" w:hAnsi="Arial" w:cs="Arial"/>
          <w:i w:val="0"/>
          <w:noProof/>
          <w:sz w:val="24"/>
        </w:rPr>
        <w:t>5</w:t>
      </w:r>
      <w:r w:rsidR="00FF0EC5" w:rsidRPr="001946F2">
        <w:rPr>
          <w:rFonts w:ascii="Arial" w:hAnsi="Arial" w:cs="Arial"/>
          <w:i w:val="0"/>
          <w:noProof/>
          <w:sz w:val="24"/>
        </w:rPr>
        <w:fldChar w:fldCharType="end"/>
      </w:r>
      <w:r w:rsidR="00F03608" w:rsidRPr="001946F2">
        <w:rPr>
          <w:rFonts w:ascii="Arial" w:hAnsi="Arial" w:cs="Arial"/>
          <w:i w:val="0"/>
          <w:sz w:val="24"/>
        </w:rPr>
        <w:t>: High-l</w:t>
      </w:r>
      <w:r w:rsidRPr="001946F2">
        <w:rPr>
          <w:rFonts w:ascii="Arial" w:hAnsi="Arial" w:cs="Arial"/>
          <w:i w:val="0"/>
          <w:sz w:val="24"/>
        </w:rPr>
        <w:t>evel Summary of Scope 1, 2 &amp; 3 Emissions</w:t>
      </w:r>
      <w:r w:rsidR="000772D4" w:rsidRPr="001946F2">
        <w:rPr>
          <w:rFonts w:ascii="Arial" w:hAnsi="Arial" w:cs="Arial"/>
          <w:i w:val="0"/>
          <w:sz w:val="24"/>
        </w:rPr>
        <w:t xml:space="preserve"> (tonnes CO</w:t>
      </w:r>
      <w:r w:rsidR="000772D4" w:rsidRPr="001946F2">
        <w:rPr>
          <w:rFonts w:ascii="Arial" w:hAnsi="Arial" w:cs="Arial"/>
          <w:i w:val="0"/>
          <w:sz w:val="24"/>
          <w:vertAlign w:val="subscript"/>
        </w:rPr>
        <w:t>2</w:t>
      </w:r>
      <w:r w:rsidR="000772D4" w:rsidRPr="001946F2">
        <w:rPr>
          <w:rFonts w:ascii="Arial" w:hAnsi="Arial" w:cs="Arial"/>
          <w:i w:val="0"/>
          <w:sz w:val="24"/>
        </w:rPr>
        <w:t>e)</w:t>
      </w:r>
    </w:p>
    <w:p w:rsidR="002501B0" w:rsidRPr="00A257B9" w:rsidRDefault="002501B0" w:rsidP="001946F2">
      <w:pPr>
        <w:pStyle w:val="Heading1"/>
        <w:spacing w:before="360"/>
      </w:pPr>
      <w:r w:rsidRPr="00A257B9">
        <w:t>Progress Report</w:t>
      </w:r>
    </w:p>
    <w:p w:rsidR="0031372E" w:rsidRPr="00A257B9" w:rsidRDefault="00483483" w:rsidP="00483483">
      <w:pPr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This report represents</w:t>
      </w:r>
      <w:r w:rsidR="00876E14" w:rsidRPr="00A257B9">
        <w:rPr>
          <w:rFonts w:ascii="Arial" w:hAnsi="Arial" w:cs="Arial"/>
        </w:rPr>
        <w:t xml:space="preserve"> the first carbon footprint reporting year</w:t>
      </w:r>
      <w:r w:rsidR="00C223C8" w:rsidRPr="00A257B9">
        <w:rPr>
          <w:rFonts w:ascii="Arial" w:hAnsi="Arial" w:cs="Arial"/>
        </w:rPr>
        <w:t>. As such, no comparison c</w:t>
      </w:r>
      <w:r w:rsidR="0031372E" w:rsidRPr="00A257B9">
        <w:rPr>
          <w:rFonts w:ascii="Arial" w:hAnsi="Arial" w:cs="Arial"/>
        </w:rPr>
        <w:t>an be made with previous years.</w:t>
      </w:r>
    </w:p>
    <w:p w:rsidR="00876E14" w:rsidRPr="00A257B9" w:rsidRDefault="000772D4" w:rsidP="000772D4">
      <w:pPr>
        <w:tabs>
          <w:tab w:val="left" w:pos="3080"/>
        </w:tabs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A year-on-year net emissions reduction of 333 tonnes of CO</w:t>
      </w:r>
      <w:r w:rsidRPr="00A257B9">
        <w:rPr>
          <w:rFonts w:ascii="Arial" w:hAnsi="Arial" w:cs="Arial"/>
          <w:vertAlign w:val="subscript"/>
        </w:rPr>
        <w:t>2</w:t>
      </w:r>
      <w:r w:rsidRPr="00A257B9">
        <w:rPr>
          <w:rFonts w:ascii="Arial" w:hAnsi="Arial" w:cs="Arial"/>
        </w:rPr>
        <w:t xml:space="preserve">e will be required to meet the ambition of becoming carbon neutral </w:t>
      </w:r>
      <w:r w:rsidR="009A08A3">
        <w:rPr>
          <w:rFonts w:ascii="Arial" w:hAnsi="Arial" w:cs="Arial"/>
        </w:rPr>
        <w:t xml:space="preserve">by 2025 </w:t>
      </w:r>
      <w:r w:rsidRPr="00A257B9">
        <w:rPr>
          <w:rFonts w:ascii="Arial" w:hAnsi="Arial" w:cs="Arial"/>
        </w:rPr>
        <w:t>under scope 1 and 2 emissions.</w:t>
      </w:r>
    </w:p>
    <w:p w:rsidR="000772D4" w:rsidRPr="00A257B9" w:rsidRDefault="001E7820" w:rsidP="000772D4">
      <w:pPr>
        <w:tabs>
          <w:tab w:val="left" w:pos="3080"/>
        </w:tabs>
        <w:jc w:val="both"/>
        <w:rPr>
          <w:rFonts w:ascii="Arial" w:hAnsi="Arial" w:cs="Arial"/>
        </w:rPr>
      </w:pPr>
      <w:r w:rsidRPr="00A257B9">
        <w:rPr>
          <w:rFonts w:ascii="Arial" w:hAnsi="Arial" w:cs="Arial"/>
        </w:rPr>
        <w:t>A year-on-year net-</w:t>
      </w:r>
      <w:r w:rsidR="000772D4" w:rsidRPr="00A257B9">
        <w:rPr>
          <w:rFonts w:ascii="Arial" w:hAnsi="Arial" w:cs="Arial"/>
        </w:rPr>
        <w:t>emissions reduction of 1,456 tonnes of CO</w:t>
      </w:r>
      <w:r w:rsidR="000772D4" w:rsidRPr="00A257B9">
        <w:rPr>
          <w:rFonts w:ascii="Arial" w:hAnsi="Arial" w:cs="Arial"/>
          <w:vertAlign w:val="subscript"/>
        </w:rPr>
        <w:t>2</w:t>
      </w:r>
      <w:r w:rsidR="000772D4" w:rsidRPr="00A257B9">
        <w:rPr>
          <w:rFonts w:ascii="Arial" w:hAnsi="Arial" w:cs="Arial"/>
        </w:rPr>
        <w:t>e will be required to meet the ambition of becomi</w:t>
      </w:r>
      <w:r w:rsidR="00A802D4" w:rsidRPr="00A257B9">
        <w:rPr>
          <w:rFonts w:ascii="Arial" w:hAnsi="Arial" w:cs="Arial"/>
        </w:rPr>
        <w:t xml:space="preserve">ng carbon neutral </w:t>
      </w:r>
      <w:r w:rsidR="009A08A3">
        <w:rPr>
          <w:rFonts w:ascii="Arial" w:hAnsi="Arial" w:cs="Arial"/>
        </w:rPr>
        <w:t xml:space="preserve">by 2025 </w:t>
      </w:r>
      <w:r w:rsidR="00A802D4" w:rsidRPr="00A257B9">
        <w:rPr>
          <w:rFonts w:ascii="Arial" w:hAnsi="Arial" w:cs="Arial"/>
        </w:rPr>
        <w:t xml:space="preserve">under scope 1, </w:t>
      </w:r>
      <w:r w:rsidR="000772D4" w:rsidRPr="00A257B9">
        <w:rPr>
          <w:rFonts w:ascii="Arial" w:hAnsi="Arial" w:cs="Arial"/>
        </w:rPr>
        <w:t xml:space="preserve">2 </w:t>
      </w:r>
      <w:r w:rsidR="00A802D4" w:rsidRPr="00A257B9">
        <w:rPr>
          <w:rFonts w:ascii="Arial" w:hAnsi="Arial" w:cs="Arial"/>
        </w:rPr>
        <w:t xml:space="preserve">and 3 </w:t>
      </w:r>
      <w:r w:rsidR="000772D4" w:rsidRPr="00A257B9">
        <w:rPr>
          <w:rFonts w:ascii="Arial" w:hAnsi="Arial" w:cs="Arial"/>
        </w:rPr>
        <w:t>emissions.</w:t>
      </w:r>
    </w:p>
    <w:p w:rsidR="00C223C8" w:rsidRPr="00A257B9" w:rsidRDefault="009758BB" w:rsidP="00C223C8">
      <w:pPr>
        <w:keepNext/>
        <w:jc w:val="center"/>
        <w:rPr>
          <w:rFonts w:ascii="Arial" w:hAnsi="Arial" w:cs="Arial"/>
        </w:rPr>
      </w:pPr>
      <w:r w:rsidRPr="00A257B9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35BE2940" wp14:editId="2D08EB08">
            <wp:extent cx="5731510" cy="3582035"/>
            <wp:effectExtent l="0" t="0" r="2540" b="0"/>
            <wp:docPr id="11" name="Chart 11" title="Required Emissions Trajectory to meet 2025 Carbon Neutral Ambi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6E14" w:rsidRPr="001946F2" w:rsidRDefault="00C223C8" w:rsidP="00C223C8">
      <w:pPr>
        <w:pStyle w:val="Caption"/>
        <w:jc w:val="center"/>
        <w:rPr>
          <w:rFonts w:ascii="Arial" w:hAnsi="Arial" w:cs="Arial"/>
          <w:i w:val="0"/>
          <w:sz w:val="24"/>
        </w:rPr>
      </w:pPr>
      <w:r w:rsidRPr="001946F2">
        <w:rPr>
          <w:rFonts w:ascii="Arial" w:hAnsi="Arial" w:cs="Arial"/>
          <w:i w:val="0"/>
          <w:sz w:val="24"/>
        </w:rPr>
        <w:t xml:space="preserve">Figure </w:t>
      </w:r>
      <w:r w:rsidR="00FF0EC5" w:rsidRPr="001946F2">
        <w:rPr>
          <w:rFonts w:ascii="Arial" w:hAnsi="Arial" w:cs="Arial"/>
          <w:i w:val="0"/>
          <w:noProof/>
          <w:sz w:val="24"/>
        </w:rPr>
        <w:fldChar w:fldCharType="begin"/>
      </w:r>
      <w:r w:rsidR="00FF0EC5" w:rsidRPr="001946F2">
        <w:rPr>
          <w:rFonts w:ascii="Arial" w:hAnsi="Arial" w:cs="Arial"/>
          <w:i w:val="0"/>
          <w:noProof/>
          <w:sz w:val="24"/>
        </w:rPr>
        <w:instrText xml:space="preserve"> SEQ Figure \* ARABIC </w:instrText>
      </w:r>
      <w:r w:rsidR="00FF0EC5" w:rsidRPr="001946F2">
        <w:rPr>
          <w:rFonts w:ascii="Arial" w:hAnsi="Arial" w:cs="Arial"/>
          <w:i w:val="0"/>
          <w:noProof/>
          <w:sz w:val="24"/>
        </w:rPr>
        <w:fldChar w:fldCharType="separate"/>
      </w:r>
      <w:r w:rsidR="00356516" w:rsidRPr="001946F2">
        <w:rPr>
          <w:rFonts w:ascii="Arial" w:hAnsi="Arial" w:cs="Arial"/>
          <w:i w:val="0"/>
          <w:noProof/>
          <w:sz w:val="24"/>
        </w:rPr>
        <w:t>6</w:t>
      </w:r>
      <w:r w:rsidR="00FF0EC5" w:rsidRPr="001946F2">
        <w:rPr>
          <w:rFonts w:ascii="Arial" w:hAnsi="Arial" w:cs="Arial"/>
          <w:i w:val="0"/>
          <w:noProof/>
          <w:sz w:val="24"/>
        </w:rPr>
        <w:fldChar w:fldCharType="end"/>
      </w:r>
      <w:r w:rsidRPr="001946F2">
        <w:rPr>
          <w:rFonts w:ascii="Arial" w:hAnsi="Arial" w:cs="Arial"/>
          <w:i w:val="0"/>
          <w:sz w:val="24"/>
        </w:rPr>
        <w:t>: Required Emissions Trajectory to meet 2025 Carbon Neutral Ambition</w:t>
      </w:r>
    </w:p>
    <w:sectPr w:rsidR="00876E14" w:rsidRPr="001946F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D4" w:rsidRDefault="00D92FD4" w:rsidP="00D92FD4">
      <w:pPr>
        <w:spacing w:after="0" w:line="240" w:lineRule="auto"/>
      </w:pPr>
      <w:r>
        <w:separator/>
      </w:r>
    </w:p>
  </w:endnote>
  <w:endnote w:type="continuationSeparator" w:id="0">
    <w:p w:rsidR="00D92FD4" w:rsidRDefault="00D92FD4" w:rsidP="00D9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D4" w:rsidRDefault="00D92FD4" w:rsidP="00D92FD4">
      <w:pPr>
        <w:spacing w:after="0" w:line="240" w:lineRule="auto"/>
      </w:pPr>
      <w:r>
        <w:separator/>
      </w:r>
    </w:p>
  </w:footnote>
  <w:footnote w:type="continuationSeparator" w:id="0">
    <w:p w:rsidR="00D92FD4" w:rsidRDefault="00D92FD4" w:rsidP="00D9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D4" w:rsidRDefault="00D92FD4" w:rsidP="00D92FD4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181225" cy="861492"/>
          <wp:effectExtent l="0" t="0" r="0" b="0"/>
          <wp:docPr id="3" name="Picture 3" title="Teignbridge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192" cy="87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2FD4" w:rsidRDefault="00D92FD4" w:rsidP="00D92F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52661"/>
    <w:multiLevelType w:val="multilevel"/>
    <w:tmpl w:val="B7E8BD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43343E"/>
    <w:multiLevelType w:val="hybridMultilevel"/>
    <w:tmpl w:val="E04C4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5A"/>
    <w:rsid w:val="00014206"/>
    <w:rsid w:val="00044D56"/>
    <w:rsid w:val="000772D4"/>
    <w:rsid w:val="00077C46"/>
    <w:rsid w:val="000A344B"/>
    <w:rsid w:val="000D3E19"/>
    <w:rsid w:val="000D4E1F"/>
    <w:rsid w:val="00112767"/>
    <w:rsid w:val="00127FB3"/>
    <w:rsid w:val="001327B0"/>
    <w:rsid w:val="001946F2"/>
    <w:rsid w:val="001A4BCF"/>
    <w:rsid w:val="001C3207"/>
    <w:rsid w:val="001E7820"/>
    <w:rsid w:val="00204D46"/>
    <w:rsid w:val="00215D56"/>
    <w:rsid w:val="00234C95"/>
    <w:rsid w:val="002501B0"/>
    <w:rsid w:val="00260C13"/>
    <w:rsid w:val="00261799"/>
    <w:rsid w:val="00295615"/>
    <w:rsid w:val="002A1719"/>
    <w:rsid w:val="002B07B0"/>
    <w:rsid w:val="0031372E"/>
    <w:rsid w:val="00356516"/>
    <w:rsid w:val="00373E1F"/>
    <w:rsid w:val="00390463"/>
    <w:rsid w:val="00395E5A"/>
    <w:rsid w:val="003965BB"/>
    <w:rsid w:val="003A5817"/>
    <w:rsid w:val="003A5FFC"/>
    <w:rsid w:val="003D34AC"/>
    <w:rsid w:val="003D5A20"/>
    <w:rsid w:val="00466904"/>
    <w:rsid w:val="00483483"/>
    <w:rsid w:val="004A4D19"/>
    <w:rsid w:val="004C2C29"/>
    <w:rsid w:val="004C38E2"/>
    <w:rsid w:val="004E585A"/>
    <w:rsid w:val="004F4678"/>
    <w:rsid w:val="004F5293"/>
    <w:rsid w:val="00507E5A"/>
    <w:rsid w:val="005E25C7"/>
    <w:rsid w:val="00634D9F"/>
    <w:rsid w:val="006A1DE9"/>
    <w:rsid w:val="006A613C"/>
    <w:rsid w:val="00710E68"/>
    <w:rsid w:val="00725CD4"/>
    <w:rsid w:val="00756373"/>
    <w:rsid w:val="0076753C"/>
    <w:rsid w:val="00770449"/>
    <w:rsid w:val="00795DBE"/>
    <w:rsid w:val="007F6EC8"/>
    <w:rsid w:val="00815479"/>
    <w:rsid w:val="00842F39"/>
    <w:rsid w:val="0087686D"/>
    <w:rsid w:val="00876E14"/>
    <w:rsid w:val="00884990"/>
    <w:rsid w:val="008A5A9E"/>
    <w:rsid w:val="009468BB"/>
    <w:rsid w:val="009758BB"/>
    <w:rsid w:val="0098562A"/>
    <w:rsid w:val="009856C2"/>
    <w:rsid w:val="009A08A3"/>
    <w:rsid w:val="009F719F"/>
    <w:rsid w:val="00A02ABE"/>
    <w:rsid w:val="00A04886"/>
    <w:rsid w:val="00A257B9"/>
    <w:rsid w:val="00A342E7"/>
    <w:rsid w:val="00A626B1"/>
    <w:rsid w:val="00A802D4"/>
    <w:rsid w:val="00A84911"/>
    <w:rsid w:val="00AC737B"/>
    <w:rsid w:val="00AF25C6"/>
    <w:rsid w:val="00B430A5"/>
    <w:rsid w:val="00B6154A"/>
    <w:rsid w:val="00BD72BA"/>
    <w:rsid w:val="00C123E5"/>
    <w:rsid w:val="00C223C8"/>
    <w:rsid w:val="00C313BA"/>
    <w:rsid w:val="00C41D1C"/>
    <w:rsid w:val="00C650B4"/>
    <w:rsid w:val="00CD2458"/>
    <w:rsid w:val="00CE42B0"/>
    <w:rsid w:val="00D456EE"/>
    <w:rsid w:val="00D6152B"/>
    <w:rsid w:val="00D92FD4"/>
    <w:rsid w:val="00E23469"/>
    <w:rsid w:val="00E32C8D"/>
    <w:rsid w:val="00E561EE"/>
    <w:rsid w:val="00EF0153"/>
    <w:rsid w:val="00F03608"/>
    <w:rsid w:val="00F25ACD"/>
    <w:rsid w:val="00F26B02"/>
    <w:rsid w:val="00F305E4"/>
    <w:rsid w:val="00F5415E"/>
    <w:rsid w:val="00F84FAA"/>
    <w:rsid w:val="00F96B5E"/>
    <w:rsid w:val="00FC63C1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0814503-03CA-4CFF-822F-0BD686B8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507E5A"/>
    <w:pPr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07E5A"/>
    <w:pPr>
      <w:numPr>
        <w:ilvl w:val="1"/>
        <w:numId w:val="1"/>
      </w:numPr>
      <w:ind w:left="42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07E5A"/>
    <w:pPr>
      <w:numPr>
        <w:ilvl w:val="2"/>
        <w:numId w:val="1"/>
      </w:numPr>
      <w:ind w:left="567" w:hanging="567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507E5A"/>
    <w:pPr>
      <w:numPr>
        <w:numId w:val="0"/>
      </w:numPr>
      <w:ind w:left="360" w:hanging="3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7E5A"/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7E5A"/>
    <w:rPr>
      <w:rFonts w:ascii="Arial" w:hAnsi="Arial" w:cs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7E5A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7E5A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D6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D7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D4"/>
  </w:style>
  <w:style w:type="paragraph" w:styleId="Footer">
    <w:name w:val="footer"/>
    <w:basedOn w:val="Normal"/>
    <w:link w:val="FooterChar"/>
    <w:uiPriority w:val="99"/>
    <w:unhideWhenUsed/>
    <w:rsid w:val="00D9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D4"/>
  </w:style>
  <w:style w:type="paragraph" w:styleId="Title">
    <w:name w:val="Title"/>
    <w:basedOn w:val="Normal"/>
    <w:next w:val="Normal"/>
    <w:link w:val="TitleChar"/>
    <w:uiPriority w:val="10"/>
    <w:qFormat/>
    <w:rsid w:val="00D92F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eignbridgeDC.local\TDCDATA\Environment%20&amp;%20Safety%20Service\Energy%20Efficiency\Carbon%20Footprinting\Carbon%20Footprint%20%20(Version%2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eignbridgeDC.local\TDCDATA\Environment%20&amp;%20Safety%20Service\Energy%20Efficiency\Carbon%20Footprinting\Carbon%20Footprint%20%20(Version%20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eignbridgeDC.local\TDCDATA\Environment%20&amp;%20Safety%20Service\Energy%20Efficiency\Carbon%20Footprinting\Carbon%20Footprint%20%20(Version%20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eignbridgeDC.local\TDCDATA\Environment%20&amp;%20Safety%20Service\Energy%20Efficiency\Carbon%20Footprinting\Carbon%20Footprint%20%20(Version%20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eignbridgeDC.local\TDCDATA\Environment%20&amp;%20Safety%20Service\Energy%20Efficiency\Carbon%20Footprinting\Carbon%20Footprint%20%20(Version%20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eignbridgeDC.local\TDCDATA\Environment%20&amp;%20Safety%20Service\Energy%20Efficiency\Carbon%20Footprinting\Carbon%20Footprint%20%20(Version%20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77986111111111"/>
          <c:y val="9.0823376612859538E-2"/>
          <c:w val="0.1691387152777778"/>
          <c:h val="0.8523703412198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Summary!$D$10</c:f>
              <c:strCache>
                <c:ptCount val="1"/>
                <c:pt idx="0">
                  <c:v>     Fuel Oil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Summary!$E$10:$H$10</c:f>
              <c:numCache>
                <c:formatCode>#,##0.0</c:formatCode>
                <c:ptCount val="1"/>
                <c:pt idx="0">
                  <c:v>10.92592962</c:v>
                </c:pt>
              </c:numCache>
              <c:extLst/>
            </c:numRef>
          </c:val>
        </c:ser>
        <c:ser>
          <c:idx val="1"/>
          <c:order val="1"/>
          <c:tx>
            <c:strRef>
              <c:f>Summary!$D$11</c:f>
              <c:strCache>
                <c:ptCount val="1"/>
                <c:pt idx="0">
                  <c:v>     Natural Gas (Sites Owned by TDC and Operated by TDC)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Summary!$E$11:$H$11</c:f>
              <c:numCache>
                <c:formatCode>#,##0.0</c:formatCode>
                <c:ptCount val="1"/>
                <c:pt idx="0">
                  <c:v>484.21239881868007</c:v>
                </c:pt>
              </c:numCache>
              <c:extLst/>
            </c:numRef>
          </c:val>
        </c:ser>
        <c:ser>
          <c:idx val="2"/>
          <c:order val="2"/>
          <c:tx>
            <c:strRef>
              <c:f>Summary!$D$12</c:f>
              <c:strCache>
                <c:ptCount val="1"/>
                <c:pt idx="0">
                  <c:v>     Natural Gas (Sites Owned by TDC and Leased Out)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Summary!$E$12:$H$12</c:f>
              <c:numCache>
                <c:formatCode>#,##0.0</c:formatCode>
                <c:ptCount val="1"/>
                <c:pt idx="0">
                  <c:v>13.424582361960001</c:v>
                </c:pt>
              </c:numCache>
              <c:extLst/>
            </c:numRef>
          </c:val>
        </c:ser>
        <c:ser>
          <c:idx val="3"/>
          <c:order val="3"/>
          <c:tx>
            <c:strRef>
              <c:f>Summary!$D$13</c:f>
              <c:strCache>
                <c:ptCount val="1"/>
                <c:pt idx="0">
                  <c:v>     Bioenergy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Summary!$E$13:$H$13</c:f>
              <c:numCache>
                <c:formatCode>#,##0.0</c:formatCode>
                <c:ptCount val="1"/>
                <c:pt idx="0">
                  <c:v>10.819057945600001</c:v>
                </c:pt>
              </c:numCache>
              <c:extLst/>
            </c:numRef>
          </c:val>
        </c:ser>
        <c:ser>
          <c:idx val="4"/>
          <c:order val="4"/>
          <c:tx>
            <c:strRef>
              <c:f>Summary!$D$15</c:f>
              <c:strCache>
                <c:ptCount val="1"/>
                <c:pt idx="0">
                  <c:v>     Refrigerant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Summary!$E$15:$H$15</c:f>
              <c:numCache>
                <c:formatCode>#,##0.0</c:formatCode>
                <c:ptCount val="1"/>
                <c:pt idx="0">
                  <c:v>37.982110000000006</c:v>
                </c:pt>
              </c:numCache>
              <c:extLst/>
            </c:numRef>
          </c:val>
        </c:ser>
        <c:ser>
          <c:idx val="5"/>
          <c:order val="5"/>
          <c:tx>
            <c:strRef>
              <c:f>Summary!$D$17</c:f>
              <c:strCache>
                <c:ptCount val="1"/>
                <c:pt idx="0">
                  <c:v>     Pool Cars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Summary!$E$17:$H$17</c:f>
              <c:numCache>
                <c:formatCode>#,##0.0</c:formatCode>
                <c:ptCount val="1"/>
                <c:pt idx="0">
                  <c:v>0.82855838999999998</c:v>
                </c:pt>
              </c:numCache>
              <c:extLst/>
            </c:numRef>
          </c:val>
        </c:ser>
        <c:ser>
          <c:idx val="6"/>
          <c:order val="6"/>
          <c:tx>
            <c:strRef>
              <c:f>Summary!$D$18</c:f>
              <c:strCache>
                <c:ptCount val="1"/>
                <c:pt idx="0">
                  <c:v>     Claimed Mileage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Summary!$E$18:$H$18</c:f>
              <c:numCache>
                <c:formatCode>#,##0.0</c:formatCode>
                <c:ptCount val="1"/>
                <c:pt idx="0">
                  <c:v>52.154586559999998</c:v>
                </c:pt>
              </c:numCache>
              <c:extLst/>
            </c:numRef>
          </c:val>
        </c:ser>
        <c:ser>
          <c:idx val="7"/>
          <c:order val="7"/>
          <c:tx>
            <c:strRef>
              <c:f>Summary!$D$20</c:f>
              <c:strCache>
                <c:ptCount val="1"/>
                <c:pt idx="0">
                  <c:v>     Light Goods Vehicle (Van)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Summary!$E$20:$H$20</c:f>
              <c:numCache>
                <c:formatCode>#,##0.0</c:formatCode>
                <c:ptCount val="1"/>
                <c:pt idx="0">
                  <c:v>139.43529936000002</c:v>
                </c:pt>
              </c:numCache>
              <c:extLst/>
            </c:numRef>
          </c:val>
        </c:ser>
        <c:ser>
          <c:idx val="8"/>
          <c:order val="8"/>
          <c:tx>
            <c:strRef>
              <c:f>Summary!$D$21</c:f>
              <c:strCache>
                <c:ptCount val="1"/>
                <c:pt idx="0">
                  <c:v>     Heavy Goods Vehicle (&gt;3.5 - 7.5 tonnes)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Summary!$E$21:$H$21</c:f>
              <c:numCache>
                <c:formatCode>#,##0.0</c:formatCode>
                <c:ptCount val="1"/>
                <c:pt idx="0">
                  <c:v>19.008629386373944</c:v>
                </c:pt>
              </c:numCache>
              <c:extLst/>
            </c:numRef>
          </c:val>
        </c:ser>
        <c:ser>
          <c:idx val="9"/>
          <c:order val="9"/>
          <c:tx>
            <c:strRef>
              <c:f>Summary!$D$22</c:f>
              <c:strCache>
                <c:ptCount val="1"/>
                <c:pt idx="0">
                  <c:v>     Heavy Goods Vehicle (&gt;7.5 tonnes-17 tonnes)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Summary!$E$22:$H$22</c:f>
              <c:numCache>
                <c:formatCode>#,##0.0</c:formatCode>
                <c:ptCount val="1"/>
                <c:pt idx="0">
                  <c:v>242.29269785043113</c:v>
                </c:pt>
              </c:numCache>
              <c:extLst/>
            </c:numRef>
          </c:val>
        </c:ser>
        <c:ser>
          <c:idx val="10"/>
          <c:order val="10"/>
          <c:tx>
            <c:strRef>
              <c:f>Summary!$D$23</c:f>
              <c:strCache>
                <c:ptCount val="1"/>
                <c:pt idx="0">
                  <c:v>     Heavy Goods Vehicle (&gt;17 tonnes)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Summary!$E$23:$H$23</c:f>
              <c:numCache>
                <c:formatCode>#,##0.0</c:formatCode>
                <c:ptCount val="1"/>
                <c:pt idx="0">
                  <c:v>269.01323859373457</c:v>
                </c:pt>
              </c:numCache>
              <c:extLst/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80229680"/>
        <c:axId val="482349192"/>
      </c:barChart>
      <c:catAx>
        <c:axId val="480229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2349192"/>
        <c:crosses val="autoZero"/>
        <c:auto val="1"/>
        <c:lblAlgn val="ctr"/>
        <c:lblOffset val="100"/>
        <c:noMultiLvlLbl val="0"/>
      </c:catAx>
      <c:valAx>
        <c:axId val="482349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Carbon Emissions (tonnes</a:t>
                </a:r>
                <a:r>
                  <a:rPr lang="en-US" baseline="0"/>
                  <a:t> </a:t>
                </a:r>
                <a:r>
                  <a:rPr lang="en-US"/>
                  <a:t>CO</a:t>
                </a:r>
                <a:r>
                  <a:rPr lang="en-US" baseline="-25000"/>
                  <a:t>2</a:t>
                </a:r>
                <a:r>
                  <a:rPr lang="en-US"/>
                  <a:t>e)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022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9681093750000002"/>
          <c:y val="0.15820315701002802"/>
          <c:w val="0.5899598958333333"/>
          <c:h val="0.747481038253589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77986111111111"/>
          <c:y val="9.0823376612859538E-2"/>
          <c:w val="0.1691387152777778"/>
          <c:h val="0.8523703412198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Summary!$D$26</c:f>
              <c:strCache>
                <c:ptCount val="1"/>
                <c:pt idx="0">
                  <c:v>     Grid Supplied Electricity (Top 20 Sites - Sites Owned by TDC and Operated by TDC)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Summary!$E$26</c:f>
              <c:numCache>
                <c:formatCode>#,##0.0</c:formatCode>
                <c:ptCount val="1"/>
                <c:pt idx="0">
                  <c:v>596.83947933299987</c:v>
                </c:pt>
              </c:numCache>
            </c:numRef>
          </c:val>
        </c:ser>
        <c:ser>
          <c:idx val="1"/>
          <c:order val="1"/>
          <c:tx>
            <c:strRef>
              <c:f>Summary!$D$27</c:f>
              <c:strCache>
                <c:ptCount val="1"/>
                <c:pt idx="0">
                  <c:v>     Grid Supplied Electricity (Top 20 Sites - Sites Owned by TDC and Leased Out)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Summary!$E$27</c:f>
              <c:numCache>
                <c:formatCode>#,##0.0</c:formatCode>
                <c:ptCount val="1"/>
                <c:pt idx="0">
                  <c:v>64.470862613000008</c:v>
                </c:pt>
              </c:numCache>
            </c:numRef>
          </c:val>
        </c:ser>
        <c:ser>
          <c:idx val="2"/>
          <c:order val="2"/>
          <c:tx>
            <c:strRef>
              <c:f>Summary!$D$28</c:f>
              <c:strCache>
                <c:ptCount val="1"/>
                <c:pt idx="0">
                  <c:v>     Grid Supplied Electricity (All Other Sites)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Summary!$E$28</c:f>
              <c:numCache>
                <c:formatCode>#,##0.0</c:formatCode>
                <c:ptCount val="1"/>
                <c:pt idx="0">
                  <c:v>57.601065090000006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82349976"/>
        <c:axId val="482350368"/>
      </c:barChart>
      <c:catAx>
        <c:axId val="4823499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2350368"/>
        <c:crosses val="autoZero"/>
        <c:auto val="1"/>
        <c:lblAlgn val="ctr"/>
        <c:lblOffset val="100"/>
        <c:noMultiLvlLbl val="0"/>
      </c:catAx>
      <c:valAx>
        <c:axId val="4823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Carbon Emissions</a:t>
                </a:r>
                <a:r>
                  <a:rPr lang="en-US" baseline="0"/>
                  <a:t> tonnes </a:t>
                </a:r>
                <a:r>
                  <a:rPr lang="en-US"/>
                  <a:t>CO</a:t>
                </a:r>
                <a:r>
                  <a:rPr lang="en-US" baseline="-25000"/>
                  <a:t>2</a:t>
                </a:r>
                <a:r>
                  <a:rPr lang="en-US"/>
                  <a:t>e)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349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9681093750000002"/>
          <c:y val="0.42984194444444446"/>
          <c:w val="0.58826250000000002"/>
          <c:h val="0.204173888888888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Graphs!$O$67:$P$67</c:f>
              <c:strCache>
                <c:ptCount val="2"/>
                <c:pt idx="0">
                  <c:v>Non-Supply Chain Emissions</c:v>
                </c:pt>
                <c:pt idx="1">
                  <c:v>Supply Chain Emissions</c:v>
                </c:pt>
              </c:strCache>
            </c:strRef>
          </c:cat>
          <c:val>
            <c:numRef>
              <c:f>Graphs!$O$68:$P$68</c:f>
              <c:numCache>
                <c:formatCode>#,##0</c:formatCode>
                <c:ptCount val="2"/>
                <c:pt idx="0">
                  <c:v>573</c:v>
                </c:pt>
                <c:pt idx="1">
                  <c:v>6162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77986111111111"/>
          <c:y val="9.0823376612859538E-2"/>
          <c:w val="0.1691387152777778"/>
          <c:h val="0.8523703412198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Summary!$D$31</c:f>
              <c:strCache>
                <c:ptCount val="1"/>
                <c:pt idx="0">
                  <c:v>     Fuel Oil WTT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Summary!$E$31</c:f>
              <c:numCache>
                <c:formatCode>#,##0.0</c:formatCode>
                <c:ptCount val="1"/>
                <c:pt idx="0">
                  <c:v>2.0669943600000003</c:v>
                </c:pt>
              </c:numCache>
            </c:numRef>
          </c:val>
        </c:ser>
        <c:ser>
          <c:idx val="1"/>
          <c:order val="1"/>
          <c:tx>
            <c:strRef>
              <c:f>Summary!$D$32</c:f>
              <c:strCache>
                <c:ptCount val="1"/>
                <c:pt idx="0">
                  <c:v>     Natural Gas (Sites Owned by TDC and Operated by TDC) WTT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Summary!$E$32</c:f>
              <c:numCache>
                <c:formatCode>#,##0.0</c:formatCode>
                <c:ptCount val="1"/>
                <c:pt idx="0">
                  <c:v>67.304365284810004</c:v>
                </c:pt>
              </c:numCache>
            </c:numRef>
          </c:val>
        </c:ser>
        <c:ser>
          <c:idx val="2"/>
          <c:order val="2"/>
          <c:tx>
            <c:strRef>
              <c:f>Summary!$D$33</c:f>
              <c:strCache>
                <c:ptCount val="1"/>
                <c:pt idx="0">
                  <c:v>     Natural Gas (Sites Owned by TDC and Leased Out) WTT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Summary!$E$33</c:f>
              <c:numCache>
                <c:formatCode>#,##0.0</c:formatCode>
                <c:ptCount val="1"/>
                <c:pt idx="0">
                  <c:v>1.8659848390700005</c:v>
                </c:pt>
              </c:numCache>
            </c:numRef>
          </c:val>
        </c:ser>
        <c:ser>
          <c:idx val="3"/>
          <c:order val="3"/>
          <c:tx>
            <c:strRef>
              <c:f>Summary!$D$34</c:f>
              <c:strCache>
                <c:ptCount val="1"/>
                <c:pt idx="0">
                  <c:v>     Bioenergy WTT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Summary!$E$34</c:f>
              <c:numCache>
                <c:formatCode>#,##0.0</c:formatCode>
                <c:ptCount val="1"/>
                <c:pt idx="0">
                  <c:v>27.17304</c:v>
                </c:pt>
              </c:numCache>
            </c:numRef>
          </c:val>
        </c:ser>
        <c:ser>
          <c:idx val="4"/>
          <c:order val="4"/>
          <c:tx>
            <c:strRef>
              <c:f>Summary!$D$36</c:f>
              <c:strCache>
                <c:ptCount val="1"/>
                <c:pt idx="0">
                  <c:v>     Pool Cars WTT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Summary!$E$36</c:f>
              <c:numCache>
                <c:formatCode>#,##0.0</c:formatCode>
                <c:ptCount val="1"/>
                <c:pt idx="0">
                  <c:v>0.19520204000000002</c:v>
                </c:pt>
              </c:numCache>
            </c:numRef>
          </c:val>
        </c:ser>
        <c:ser>
          <c:idx val="5"/>
          <c:order val="5"/>
          <c:tx>
            <c:strRef>
              <c:f>Summary!$D$37</c:f>
              <c:strCache>
                <c:ptCount val="1"/>
                <c:pt idx="0">
                  <c:v>     Claimed Mileage WTT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Summary!$E$37</c:f>
              <c:numCache>
                <c:formatCode>#,##0.0</c:formatCode>
                <c:ptCount val="1"/>
                <c:pt idx="0">
                  <c:v>13.264688120000001</c:v>
                </c:pt>
              </c:numCache>
            </c:numRef>
          </c:val>
        </c:ser>
        <c:ser>
          <c:idx val="6"/>
          <c:order val="6"/>
          <c:tx>
            <c:strRef>
              <c:f>Summary!$D$39</c:f>
              <c:strCache>
                <c:ptCount val="1"/>
                <c:pt idx="0">
                  <c:v>     Light Goods Vehicle (Van) WTT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Summary!$E$39</c:f>
              <c:numCache>
                <c:formatCode>#,##0.0</c:formatCode>
                <c:ptCount val="1"/>
                <c:pt idx="0">
                  <c:v>33.3000969</c:v>
                </c:pt>
              </c:numCache>
            </c:numRef>
          </c:val>
        </c:ser>
        <c:ser>
          <c:idx val="7"/>
          <c:order val="7"/>
          <c:tx>
            <c:strRef>
              <c:f>Summary!$D$40</c:f>
              <c:strCache>
                <c:ptCount val="1"/>
                <c:pt idx="0">
                  <c:v>     Heavy Goods Vehicle (&gt;3.5 - 7.5 tonnes) WTT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Summary!$E$40</c:f>
              <c:numCache>
                <c:formatCode>#,##0.0</c:formatCode>
                <c:ptCount val="1"/>
                <c:pt idx="0">
                  <c:v>4.5272334703132202</c:v>
                </c:pt>
              </c:numCache>
            </c:numRef>
          </c:val>
        </c:ser>
        <c:ser>
          <c:idx val="20"/>
          <c:order val="8"/>
          <c:tx>
            <c:strRef>
              <c:f>Summary!$D$41</c:f>
              <c:strCache>
                <c:ptCount val="1"/>
                <c:pt idx="0">
                  <c:v>     Heavy Goods Vehicle (&gt;7.5 tonnes-17 tonnes) WTT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Summary!$E$41</c:f>
              <c:numCache>
                <c:formatCode>#,##0.0</c:formatCode>
                <c:ptCount val="1"/>
                <c:pt idx="0">
                  <c:v>57.631880887812102</c:v>
                </c:pt>
              </c:numCache>
            </c:numRef>
          </c:val>
        </c:ser>
        <c:ser>
          <c:idx val="21"/>
          <c:order val="9"/>
          <c:tx>
            <c:strRef>
              <c:f>Summary!$D$42</c:f>
              <c:strCache>
                <c:ptCount val="1"/>
                <c:pt idx="0">
                  <c:v>     Heavy Goods Vehicle (&gt;17 tonnes) WTT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Summary!$E$42</c:f>
              <c:numCache>
                <c:formatCode>#,##0.0</c:formatCode>
                <c:ptCount val="1"/>
                <c:pt idx="0">
                  <c:v>64.052452973857669</c:v>
                </c:pt>
              </c:numCache>
            </c:numRef>
          </c:val>
        </c:ser>
        <c:ser>
          <c:idx val="8"/>
          <c:order val="10"/>
          <c:tx>
            <c:strRef>
              <c:f>Summary!$D$44</c:f>
              <c:strCache>
                <c:ptCount val="1"/>
                <c:pt idx="0">
                  <c:v>     Grid Supplied Electricity (Top 20 Sites - Sites Owned by TDC and Operated by TDC) WTT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Summary!$E$44</c:f>
              <c:numCache>
                <c:formatCode>#,##0.0</c:formatCode>
                <c:ptCount val="1"/>
                <c:pt idx="0">
                  <c:v>50.876944346999998</c:v>
                </c:pt>
              </c:numCache>
            </c:numRef>
          </c:val>
        </c:ser>
        <c:ser>
          <c:idx val="9"/>
          <c:order val="11"/>
          <c:tx>
            <c:strRef>
              <c:f>Summary!$D$45</c:f>
              <c:strCache>
                <c:ptCount val="1"/>
                <c:pt idx="0">
                  <c:v>     Grid Supplied Electricity (Top 20 Sites - Sites Owned by TDC and Leased Out) WTT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Summary!$E$45</c:f>
              <c:numCache>
                <c:formatCode>#,##0.0</c:formatCode>
                <c:ptCount val="1"/>
                <c:pt idx="0">
                  <c:v>5.4957498670000007</c:v>
                </c:pt>
              </c:numCache>
            </c:numRef>
          </c:val>
        </c:ser>
        <c:ser>
          <c:idx val="10"/>
          <c:order val="12"/>
          <c:tx>
            <c:strRef>
              <c:f>Summary!$D$46</c:f>
              <c:strCache>
                <c:ptCount val="1"/>
                <c:pt idx="0">
                  <c:v>     Grid Supplied Electricity (All other Sites) WTT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Summary!$E$46</c:f>
              <c:numCache>
                <c:formatCode>#,##0.0</c:formatCode>
                <c:ptCount val="1"/>
                <c:pt idx="0">
                  <c:v>4.9101413100000002</c:v>
                </c:pt>
              </c:numCache>
            </c:numRef>
          </c:val>
        </c:ser>
        <c:ser>
          <c:idx val="11"/>
          <c:order val="13"/>
          <c:tx>
            <c:strRef>
              <c:f>Summary!$D$48</c:f>
              <c:strCache>
                <c:ptCount val="1"/>
                <c:pt idx="0">
                  <c:v>     Hotel Stay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Summary!$E$48</c:f>
              <c:numCache>
                <c:formatCode>#,##0.0</c:formatCode>
                <c:ptCount val="1"/>
                <c:pt idx="0">
                  <c:v>118.43039999999999</c:v>
                </c:pt>
              </c:numCache>
            </c:numRef>
          </c:val>
        </c:ser>
        <c:ser>
          <c:idx val="19"/>
          <c:order val="14"/>
          <c:tx>
            <c:strRef>
              <c:f>Summary!$D$49</c:f>
              <c:strCache>
                <c:ptCount val="1"/>
                <c:pt idx="0">
                  <c:v>     Private Sector Housing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Summary!$E$49</c:f>
              <c:numCache>
                <c:formatCode>#,##0.0</c:formatCode>
                <c:ptCount val="1"/>
                <c:pt idx="0">
                  <c:v>66.99084583013699</c:v>
                </c:pt>
              </c:numCache>
            </c:numRef>
          </c:val>
        </c:ser>
        <c:ser>
          <c:idx val="12"/>
          <c:order val="15"/>
          <c:tx>
            <c:strRef>
              <c:f>Summary!$D$51</c:f>
              <c:strCache>
                <c:ptCount val="1"/>
                <c:pt idx="0">
                  <c:v>     Water Supply (Top 20 Sites - Sites Owned by TDC and Operated by TDC)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Summary!$E$51</c:f>
              <c:numCache>
                <c:formatCode>#,##0.0</c:formatCode>
                <c:ptCount val="1"/>
                <c:pt idx="0">
                  <c:v>11.866624</c:v>
                </c:pt>
              </c:numCache>
            </c:numRef>
          </c:val>
        </c:ser>
        <c:ser>
          <c:idx val="13"/>
          <c:order val="16"/>
          <c:tx>
            <c:strRef>
              <c:f>Summary!$D$52</c:f>
              <c:strCache>
                <c:ptCount val="1"/>
                <c:pt idx="0">
                  <c:v>     Water Supply (Top 20 Sites - Sites Owned by TDC and Leased Out)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Summary!$E$52</c:f>
              <c:numCache>
                <c:formatCode>#,##0.0</c:formatCode>
                <c:ptCount val="1"/>
                <c:pt idx="0">
                  <c:v>2.2005679999999996</c:v>
                </c:pt>
              </c:numCache>
            </c:numRef>
          </c:val>
        </c:ser>
        <c:ser>
          <c:idx val="14"/>
          <c:order val="17"/>
          <c:tx>
            <c:strRef>
              <c:f>Summary!$D$53</c:f>
              <c:strCache>
                <c:ptCount val="1"/>
                <c:pt idx="0">
                  <c:v>     Water Supply (All Other Sites)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Summary!$E$53</c:f>
              <c:numCache>
                <c:formatCode>#,##0.0</c:formatCode>
                <c:ptCount val="1"/>
                <c:pt idx="0">
                  <c:v>1.310775536</c:v>
                </c:pt>
              </c:numCache>
            </c:numRef>
          </c:val>
        </c:ser>
        <c:ser>
          <c:idx val="15"/>
          <c:order val="18"/>
          <c:tx>
            <c:strRef>
              <c:f>Summary!$D$54</c:f>
              <c:strCache>
                <c:ptCount val="1"/>
                <c:pt idx="0">
                  <c:v>     Wastewater (Top 20 Sites - Sites Owned by TDC and Operated by TDC)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Summary!$E$54</c:f>
              <c:numCache>
                <c:formatCode>#,##0.0</c:formatCode>
                <c:ptCount val="1"/>
                <c:pt idx="0">
                  <c:v>23.202009599999997</c:v>
                </c:pt>
              </c:numCache>
            </c:numRef>
          </c:val>
        </c:ser>
        <c:ser>
          <c:idx val="16"/>
          <c:order val="19"/>
          <c:tx>
            <c:strRef>
              <c:f>Summary!$D$55</c:f>
              <c:strCache>
                <c:ptCount val="1"/>
                <c:pt idx="0">
                  <c:v>     Wastewater (Top 20 Sites - Sites Owned by TDC and Leased Out)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Summary!$E$55</c:f>
              <c:numCache>
                <c:formatCode>#,##0.0</c:formatCode>
                <c:ptCount val="1"/>
                <c:pt idx="0">
                  <c:v>4.3026222000000001</c:v>
                </c:pt>
              </c:numCache>
            </c:numRef>
          </c:val>
        </c:ser>
        <c:ser>
          <c:idx val="17"/>
          <c:order val="20"/>
          <c:tx>
            <c:strRef>
              <c:f>Summary!$D$56</c:f>
              <c:strCache>
                <c:ptCount val="1"/>
                <c:pt idx="0">
                  <c:v>     Wastewater (All Other Sites)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Summary!$E$56</c:f>
              <c:numCache>
                <c:formatCode>#,##0.0</c:formatCode>
                <c:ptCount val="1"/>
                <c:pt idx="0">
                  <c:v>2.5628710043999998</c:v>
                </c:pt>
              </c:numCache>
            </c:numRef>
          </c:val>
        </c:ser>
        <c:ser>
          <c:idx val="18"/>
          <c:order val="21"/>
          <c:tx>
            <c:strRef>
              <c:f>Summary!$D$57</c:f>
              <c:strCache>
                <c:ptCount val="1"/>
                <c:pt idx="0">
                  <c:v>     Solid Waste Disposal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val>
            <c:numRef>
              <c:f>Summary!$E$57</c:f>
              <c:numCache>
                <c:formatCode>#,##0.0</c:formatCode>
                <c:ptCount val="1"/>
                <c:pt idx="0">
                  <c:v>9.1524080953999984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83999456"/>
        <c:axId val="483999848"/>
      </c:barChart>
      <c:catAx>
        <c:axId val="483999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3999848"/>
        <c:crosses val="autoZero"/>
        <c:auto val="1"/>
        <c:lblAlgn val="ctr"/>
        <c:lblOffset val="100"/>
        <c:noMultiLvlLbl val="0"/>
      </c:catAx>
      <c:valAx>
        <c:axId val="483999848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Carbon Emissions (tonnes</a:t>
                </a:r>
                <a:r>
                  <a:rPr lang="en-US" baseline="0"/>
                  <a:t> </a:t>
                </a:r>
                <a:r>
                  <a:rPr lang="en-US"/>
                  <a:t>CO</a:t>
                </a:r>
                <a:r>
                  <a:rPr lang="en-US" baseline="-25000"/>
                  <a:t>2</a:t>
                </a:r>
                <a:r>
                  <a:rPr lang="en-US"/>
                  <a:t>e)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99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9240112989421638"/>
          <c:y val="0"/>
          <c:w val="0.60759878472222217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Graphs!$O$83:$Q$83</c:f>
              <c:strCache>
                <c:ptCount val="3"/>
                <c:pt idx="0">
                  <c:v>Scope 1</c:v>
                </c:pt>
                <c:pt idx="1">
                  <c:v>Scope 2</c:v>
                </c:pt>
                <c:pt idx="2">
                  <c:v>Scope 3</c:v>
                </c:pt>
              </c:strCache>
            </c:strRef>
          </c:cat>
          <c:val>
            <c:numRef>
              <c:f>Graphs!$O$84:$Q$84</c:f>
              <c:numCache>
                <c:formatCode>#,##0</c:formatCode>
                <c:ptCount val="3"/>
                <c:pt idx="0">
                  <c:v>1280.0970888867798</c:v>
                </c:pt>
                <c:pt idx="1">
                  <c:v>718.9114070359999</c:v>
                </c:pt>
                <c:pt idx="2">
                  <c:v>6735.1147865275598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81222222222222"/>
          <c:y val="0.81010202884953675"/>
          <c:w val="0.64520888888888894"/>
          <c:h val="0.160110238067315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Graphs!$M$98</c:f>
              <c:strCache>
                <c:ptCount val="1"/>
                <c:pt idx="0">
                  <c:v>Scope 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  <a:alpha val="50000"/>
              </a:schemeClr>
            </a:solidFill>
            <a:ln>
              <a:solidFill>
                <a:schemeClr val="bg1">
                  <a:lumMod val="50000"/>
                  <a:alpha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</c:dPt>
          <c:cat>
            <c:strRef>
              <c:f>Graphs!$N$96:$T$96</c:f>
              <c:strCache>
                <c:ptCount val="7"/>
                <c:pt idx="0">
                  <c:v>2018/19</c:v>
                </c:pt>
                <c:pt idx="1">
                  <c:v>2019/20</c:v>
                </c:pt>
                <c:pt idx="2">
                  <c:v>2020/21</c:v>
                </c:pt>
                <c:pt idx="3">
                  <c:v>2021/22</c:v>
                </c:pt>
                <c:pt idx="4">
                  <c:v>2022/23</c:v>
                </c:pt>
                <c:pt idx="5">
                  <c:v>2023/24</c:v>
                </c:pt>
                <c:pt idx="6">
                  <c:v>2024/25</c:v>
                </c:pt>
              </c:strCache>
            </c:strRef>
          </c:cat>
          <c:val>
            <c:numRef>
              <c:f>Graphs!$N$98:$T$98</c:f>
              <c:numCache>
                <c:formatCode>#,##0</c:formatCode>
                <c:ptCount val="7"/>
                <c:pt idx="0">
                  <c:v>1280.0970888867798</c:v>
                </c:pt>
                <c:pt idx="1">
                  <c:v>1066.7475740723166</c:v>
                </c:pt>
                <c:pt idx="2">
                  <c:v>853.39805925785322</c:v>
                </c:pt>
                <c:pt idx="3">
                  <c:v>640.04854444338991</c:v>
                </c:pt>
                <c:pt idx="4">
                  <c:v>426.69902962892661</c:v>
                </c:pt>
                <c:pt idx="5">
                  <c:v>213.3495148144633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Graphs!$M$99</c:f>
              <c:strCache>
                <c:ptCount val="1"/>
                <c:pt idx="0">
                  <c:v>Scope 2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  <a:alpha val="50000"/>
              </a:schemeClr>
            </a:solidFill>
            <a:ln>
              <a:solidFill>
                <a:schemeClr val="bg1">
                  <a:lumMod val="50000"/>
                  <a:alpha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  <a:effectLst/>
            </c:spPr>
          </c:dPt>
          <c:cat>
            <c:strRef>
              <c:f>Graphs!$N$96:$T$96</c:f>
              <c:strCache>
                <c:ptCount val="7"/>
                <c:pt idx="0">
                  <c:v>2018/19</c:v>
                </c:pt>
                <c:pt idx="1">
                  <c:v>2019/20</c:v>
                </c:pt>
                <c:pt idx="2">
                  <c:v>2020/21</c:v>
                </c:pt>
                <c:pt idx="3">
                  <c:v>2021/22</c:v>
                </c:pt>
                <c:pt idx="4">
                  <c:v>2022/23</c:v>
                </c:pt>
                <c:pt idx="5">
                  <c:v>2023/24</c:v>
                </c:pt>
                <c:pt idx="6">
                  <c:v>2024/25</c:v>
                </c:pt>
              </c:strCache>
            </c:strRef>
          </c:cat>
          <c:val>
            <c:numRef>
              <c:f>Graphs!$N$99:$T$99</c:f>
              <c:numCache>
                <c:formatCode>#,##0</c:formatCode>
                <c:ptCount val="7"/>
                <c:pt idx="0">
                  <c:v>718.9114070359999</c:v>
                </c:pt>
                <c:pt idx="1">
                  <c:v>599.09283919666666</c:v>
                </c:pt>
                <c:pt idx="2">
                  <c:v>479.27427135733325</c:v>
                </c:pt>
                <c:pt idx="3">
                  <c:v>359.45570351799995</c:v>
                </c:pt>
                <c:pt idx="4">
                  <c:v>239.63713567866662</c:v>
                </c:pt>
                <c:pt idx="5">
                  <c:v>119.81856783933331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Graphs!$M$100</c:f>
              <c:strCache>
                <c:ptCount val="1"/>
                <c:pt idx="0">
                  <c:v>Scope 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  <a:alpha val="50000"/>
              </a:schemeClr>
            </a:solidFill>
            <a:ln>
              <a:solidFill>
                <a:schemeClr val="bg1">
                  <a:lumMod val="50000"/>
                  <a:alpha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</c:dPt>
          <c:cat>
            <c:strRef>
              <c:f>Graphs!$N$96:$T$96</c:f>
              <c:strCache>
                <c:ptCount val="7"/>
                <c:pt idx="0">
                  <c:v>2018/19</c:v>
                </c:pt>
                <c:pt idx="1">
                  <c:v>2019/20</c:v>
                </c:pt>
                <c:pt idx="2">
                  <c:v>2020/21</c:v>
                </c:pt>
                <c:pt idx="3">
                  <c:v>2021/22</c:v>
                </c:pt>
                <c:pt idx="4">
                  <c:v>2022/23</c:v>
                </c:pt>
                <c:pt idx="5">
                  <c:v>2023/24</c:v>
                </c:pt>
                <c:pt idx="6">
                  <c:v>2024/25</c:v>
                </c:pt>
              </c:strCache>
            </c:strRef>
          </c:cat>
          <c:val>
            <c:numRef>
              <c:f>Graphs!$N$100:$T$100</c:f>
              <c:numCache>
                <c:formatCode>#,##0</c:formatCode>
                <c:ptCount val="7"/>
                <c:pt idx="0">
                  <c:v>6735.1147865275598</c:v>
                </c:pt>
                <c:pt idx="1">
                  <c:v>5612.5956554396334</c:v>
                </c:pt>
                <c:pt idx="2">
                  <c:v>4490.0765243517062</c:v>
                </c:pt>
                <c:pt idx="3">
                  <c:v>3367.5573932637799</c:v>
                </c:pt>
                <c:pt idx="4">
                  <c:v>2245.0382621758531</c:v>
                </c:pt>
                <c:pt idx="5">
                  <c:v>1122.5191310879266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84001024"/>
        <c:axId val="484001416"/>
      </c:barChart>
      <c:catAx>
        <c:axId val="484001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Reporting Year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001416"/>
        <c:crosses val="autoZero"/>
        <c:auto val="1"/>
        <c:lblAlgn val="ctr"/>
        <c:lblOffset val="100"/>
        <c:noMultiLvlLbl val="0"/>
      </c:catAx>
      <c:valAx>
        <c:axId val="48400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Emissions (tonnes</a:t>
                </a:r>
                <a:r>
                  <a:rPr lang="en-US" baseline="0"/>
                  <a:t> </a:t>
                </a:r>
                <a:r>
                  <a:rPr lang="en-US"/>
                  <a:t>CO</a:t>
                </a:r>
                <a:r>
                  <a:rPr lang="en-US" baseline="-25000"/>
                  <a:t>2</a:t>
                </a:r>
                <a:r>
                  <a:rPr lang="en-US"/>
                  <a:t>e)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00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5273-D334-478D-9676-F931142A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</Words>
  <Characters>9268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District Council Carbon Footprint Report 2018-19</vt:lpstr>
    </vt:vector>
  </TitlesOfParts>
  <Company>Strata Service Solutions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District Council Carbon Footprint Report 2018-19</dc:title>
  <dc:subject/>
  <dc:creator>William Elliott</dc:creator>
  <cp:keywords/>
  <dc:description/>
  <cp:lastModifiedBy>William Elliott</cp:lastModifiedBy>
  <cp:revision>2</cp:revision>
  <cp:lastPrinted>2020-07-13T15:32:00Z</cp:lastPrinted>
  <dcterms:created xsi:type="dcterms:W3CDTF">2020-07-14T15:57:00Z</dcterms:created>
  <dcterms:modified xsi:type="dcterms:W3CDTF">2020-07-14T15:57:00Z</dcterms:modified>
</cp:coreProperties>
</file>